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心电监护仪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highlight w:val="none"/>
                <w:u w:val="none"/>
                <w:lang w:val="en-US" w:eastAsia="zh-CN"/>
              </w:rPr>
            </w:pPr>
            <w:r>
              <w:rPr>
                <w:rFonts w:hint="eastAsia" w:ascii="微软雅黑" w:hAnsi="微软雅黑" w:eastAsia="微软雅黑" w:cs="微软雅黑"/>
                <w:b/>
                <w:bCs/>
                <w:color w:val="0070C0"/>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70C0"/>
                <w:sz w:val="32"/>
                <w:szCs w:val="40"/>
                <w:highlight w:val="none"/>
                <w:u w:val="none"/>
                <w:lang w:val="en-US" w:eastAsia="zh-CN"/>
              </w:rPr>
            </w:pPr>
            <w:r>
              <w:rPr>
                <w:rFonts w:hint="default" w:ascii="微软雅黑" w:hAnsi="微软雅黑" w:eastAsia="微软雅黑" w:cs="微软雅黑"/>
                <w:b/>
                <w:bCs/>
                <w:color w:val="0070C0"/>
                <w:sz w:val="32"/>
                <w:szCs w:val="40"/>
                <w:highlight w:val="none"/>
                <w:u w:val="none"/>
                <w:lang w:val="en-US" w:eastAsia="zh-CN"/>
              </w:rPr>
              <w:t>202</w:t>
            </w:r>
            <w:r>
              <w:rPr>
                <w:rFonts w:hint="eastAsia" w:ascii="微软雅黑" w:hAnsi="微软雅黑" w:eastAsia="微软雅黑" w:cs="微软雅黑"/>
                <w:b/>
                <w:bCs/>
                <w:color w:val="0070C0"/>
                <w:sz w:val="32"/>
                <w:szCs w:val="40"/>
                <w:highlight w:val="none"/>
                <w:u w:val="none"/>
                <w:lang w:val="en-US" w:eastAsia="zh-CN"/>
              </w:rPr>
              <w:t>5年12月</w:t>
            </w:r>
            <w:r>
              <w:rPr>
                <w:rFonts w:hint="default" w:ascii="微软雅黑" w:hAnsi="微软雅黑" w:eastAsia="微软雅黑" w:cs="微软雅黑"/>
                <w:b/>
                <w:bCs/>
                <w:color w:val="0070C0"/>
                <w:sz w:val="32"/>
                <w:szCs w:val="40"/>
                <w:highlight w:val="none"/>
                <w:u w:val="none"/>
                <w:lang w:val="en-US" w:eastAsia="zh-CN"/>
              </w:rPr>
              <w:t>18</w:t>
            </w:r>
            <w:r>
              <w:rPr>
                <w:rFonts w:hint="eastAsia" w:ascii="微软雅黑" w:hAnsi="微软雅黑" w:eastAsia="微软雅黑" w:cs="微软雅黑"/>
                <w:b/>
                <w:bCs/>
                <w:color w:val="0070C0"/>
                <w:sz w:val="32"/>
                <w:szCs w:val="40"/>
                <w:highlight w:val="none"/>
                <w:u w:val="none"/>
                <w:lang w:val="en-US" w:eastAsia="zh-CN"/>
              </w:rPr>
              <w:t>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项目名称：心电监护</w:t>
      </w:r>
      <w:r>
        <w:rPr>
          <w:rFonts w:hint="eastAsia" w:ascii="微软雅黑" w:hAnsi="微软雅黑" w:eastAsia="微软雅黑" w:cs="微软雅黑"/>
          <w:b w:val="0"/>
          <w:bCs w:val="0"/>
          <w:sz w:val="21"/>
          <w:szCs w:val="21"/>
          <w:u w:val="none"/>
          <w:lang w:val="en-US" w:eastAsia="zh-CN"/>
        </w:rPr>
        <w:t>仪</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w:t>
      </w:r>
      <w:r>
        <w:rPr>
          <w:rFonts w:hint="default" w:ascii="微软雅黑" w:hAnsi="微软雅黑" w:eastAsia="微软雅黑" w:cs="微软雅黑"/>
          <w:b w:val="0"/>
          <w:bCs w:val="0"/>
          <w:color w:val="auto"/>
          <w:u w:val="single"/>
          <w:lang w:val="en-US" w:eastAsia="zh-CN"/>
        </w:rPr>
        <w:t>332500</w:t>
      </w:r>
      <w:r>
        <w:rPr>
          <w:rFonts w:hint="eastAsia" w:ascii="微软雅黑" w:hAnsi="微软雅黑" w:eastAsia="微软雅黑" w:cs="微软雅黑"/>
          <w:b w:val="0"/>
          <w:bCs w:val="0"/>
          <w:color w:val="auto"/>
          <w:u w:val="single"/>
          <w:lang w:val="en-US" w:eastAsia="zh-CN"/>
        </w:rPr>
        <w:t xml:space="preserve">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主要采购内容：心电监护</w:t>
      </w:r>
      <w:r>
        <w:rPr>
          <w:rFonts w:hint="eastAsia" w:ascii="微软雅黑" w:hAnsi="微软雅黑" w:eastAsia="微软雅黑" w:cs="微软雅黑"/>
          <w:b w:val="0"/>
          <w:bCs w:val="0"/>
          <w:sz w:val="21"/>
          <w:szCs w:val="21"/>
          <w:u w:val="none"/>
          <w:lang w:val="en-US" w:eastAsia="zh-CN"/>
        </w:rPr>
        <w:t>仪19台</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报名时间：2025年12月</w:t>
      </w:r>
      <w:r>
        <w:rPr>
          <w:rFonts w:hint="default" w:ascii="微软雅黑" w:hAnsi="微软雅黑" w:eastAsia="微软雅黑" w:cs="微软雅黑"/>
          <w:b w:val="0"/>
          <w:bCs w:val="0"/>
          <w:color w:val="auto"/>
          <w:highlight w:val="none"/>
          <w:lang w:val="en-US" w:eastAsia="zh-CN"/>
        </w:rPr>
        <w:t>18</w:t>
      </w:r>
      <w:r>
        <w:rPr>
          <w:rFonts w:hint="eastAsia" w:ascii="微软雅黑" w:hAnsi="微软雅黑" w:eastAsia="微软雅黑" w:cs="微软雅黑"/>
          <w:b w:val="0"/>
          <w:bCs w:val="0"/>
          <w:color w:val="auto"/>
          <w:highlight w:val="none"/>
          <w:lang w:val="en-US" w:eastAsia="zh-CN"/>
        </w:rPr>
        <w:t>日0时0分起至2025年12月</w:t>
      </w:r>
      <w:r>
        <w:rPr>
          <w:rFonts w:hint="default" w:ascii="微软雅黑" w:hAnsi="微软雅黑" w:eastAsia="微软雅黑" w:cs="微软雅黑"/>
          <w:b w:val="0"/>
          <w:bCs w:val="0"/>
          <w:color w:val="auto"/>
          <w:highlight w:val="none"/>
          <w:lang w:val="en-US" w:eastAsia="zh-CN"/>
        </w:rPr>
        <w:t>24</w:t>
      </w:r>
      <w:bookmarkStart w:id="29" w:name="_GoBack"/>
      <w:bookmarkEnd w:id="29"/>
      <w:r>
        <w:rPr>
          <w:rFonts w:hint="eastAsia" w:ascii="微软雅黑" w:hAnsi="微软雅黑" w:eastAsia="微软雅黑" w:cs="微软雅黑"/>
          <w:b w:val="0"/>
          <w:bCs w:val="0"/>
          <w:color w:val="auto"/>
          <w:highlight w:val="none"/>
          <w:lang w:val="en-US" w:eastAsia="zh-CN"/>
        </w:rPr>
        <w:t>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开标地点：襄阳市中心医院万山分院行政办公区四楼会议室（暂定，如有更改，采购人会以电话0710-3576759通知）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地址：襄阳市中心医院万山分院行政办公区四楼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心电监护仪</w:t>
            </w: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19</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17500</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332500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1.一体式监护仪, 10.4寸彩色LCD显示屏，LED背光，彩色高分辨率达800*600，8通道波形显示, 可选配触摸屏。</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2.标准配置可监测心电，呼吸，无创血压，血氧饱和度，脉搏和体温</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3. 具备ECG多导同步分析功能，同时分析多个心电导联，个别导联干扰情况下仍能准确监测。</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4. 具备智能导联脱落监测功能，个别导联脱落的情况下仍能保持监护。</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5.可显示PI血氧灌注指数，有效反映血氧灌注情况。</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6.具有三级声光报警，参数报警级别可调, 具备报警集中设置功能。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7.具备1200小时趋势图表、1800个报警事件、1600组NIBP测量的数据存储和回顾功能,48小时全息波形回顾。</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8.具备趋势共存界面、呼吸氧合图界面，大字体显示界面，及标准显示界面等多</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9.种显示界面。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10.具备成人、小儿、新生儿三种病人配置，支持U盘导入导出配置。</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11.标配普通锂电池，工作时间可达4小时；可选配高容量锂电池，工作时间达8小时。</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12.整机无风扇设计，降低环境噪音干扰。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13.机身支持附件收纳盒设计，让床旁附件管理更有序、更高效。</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14.设备使用年限≧8年,入选优秀国产品牌目录, 通过CE认证、SFDA认证.。</w:t>
      </w:r>
    </w:p>
    <w:p>
      <w:pPr>
        <w:pStyle w:val="2"/>
        <w:ind w:left="0" w:leftChars="0" w:firstLine="0" w:firstLineChars="0"/>
        <w:rPr>
          <w:rFonts w:hint="default"/>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auto"/>
          <w:sz w:val="21"/>
          <w:szCs w:val="21"/>
          <w:vertAlign w:val="baseline"/>
          <w:lang w:val="en-US" w:eastAsia="zh-CN"/>
        </w:rPr>
        <w:t>2</w:t>
      </w:r>
      <w:r>
        <w:rPr>
          <w:rFonts w:hint="eastAsia" w:ascii="微软雅黑" w:hAnsi="微软雅黑" w:eastAsia="微软雅黑" w:cs="微软雅黑"/>
          <w:b w:val="0"/>
          <w:bCs w:val="0"/>
          <w:color w:val="auto"/>
          <w:sz w:val="21"/>
          <w:szCs w:val="21"/>
          <w:vertAlign w:val="baseline"/>
          <w:lang w:val="en-US" w:eastAsia="zh-CN"/>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8"/>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5"/>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80"/>
        <w:gridCol w:w="1365"/>
        <w:gridCol w:w="930"/>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2"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633"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800"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5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2556"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462" w:type="pct"/>
            <w:vMerge w:val="restart"/>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633"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3903" w:type="pct"/>
            <w:gridSpan w:val="3"/>
            <w:tcBorders>
              <w:top w:val="single" w:color="auto" w:sz="4" w:space="0"/>
              <w:left w:val="single" w:color="auto" w:sz="4" w:space="0"/>
              <w:right w:val="single" w:color="auto" w:sz="4" w:space="0"/>
            </w:tcBorders>
            <w:noWrap w:val="0"/>
            <w:vAlign w:val="center"/>
          </w:tcPr>
          <w:tbl>
            <w:tblPr>
              <w:tblStyle w:val="16"/>
              <w:tblpPr w:leftFromText="180" w:rightFromText="180" w:vertAnchor="text" w:tblpY="1"/>
              <w:tblOverlap w:val="never"/>
              <w:tblW w:w="6510"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45"/>
              <w:gridCol w:w="4323"/>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bookmarkStart w:id="1" w:name="PO_businessTable"/>
                  <w:r>
                    <w:rPr>
                      <w:rFonts w:hint="eastAsia" w:ascii="宋体" w:hAnsi="宋体" w:cs="仿宋"/>
                      <w:color w:val="000000"/>
                      <w:szCs w:val="21"/>
                      <w:lang w:eastAsia="zh-CN"/>
                    </w:rPr>
                    <w:t>运行成本</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15</w:t>
                  </w:r>
                  <w:r>
                    <w:rPr>
                      <w:rFonts w:hint="eastAsia" w:ascii="宋体" w:hAnsi="宋体" w:cs="仿宋"/>
                      <w:color w:val="000000"/>
                      <w:szCs w:val="21"/>
                      <w:lang w:eastAsia="zh-CN"/>
                    </w:rPr>
                    <w:t>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耗材、易损件使用情况、医疗保险报销情况及其它优惠条件。（成本最低为基准，按等比例折算）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业绩</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10</w:t>
                  </w:r>
                  <w:r>
                    <w:rPr>
                      <w:rFonts w:hint="eastAsia" w:ascii="宋体" w:hAnsi="宋体" w:cs="仿宋"/>
                      <w:color w:val="000000"/>
                      <w:szCs w:val="21"/>
                      <w:lang w:eastAsia="zh-CN"/>
                    </w:rPr>
                    <w:t>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投标人（代理商或制造商）提供近三年（招标截止时间前36个月，以合同签订时间为准）的类似项目业绩。每提供1个得</w:t>
                  </w:r>
                  <w:r>
                    <w:rPr>
                      <w:rFonts w:hint="eastAsia" w:ascii="宋体" w:hAnsi="宋体" w:cs="仿宋"/>
                      <w:color w:val="000000"/>
                      <w:szCs w:val="21"/>
                      <w:lang w:val="en-US" w:eastAsia="zh-CN"/>
                    </w:rPr>
                    <w:t>2</w:t>
                  </w:r>
                  <w:r>
                    <w:rPr>
                      <w:rFonts w:hint="eastAsia" w:ascii="宋体" w:hAnsi="宋体" w:cs="仿宋"/>
                      <w:color w:val="000000"/>
                      <w:szCs w:val="21"/>
                      <w:lang w:eastAsia="zh-CN"/>
                    </w:rPr>
                    <w:t>分，最高得</w:t>
                  </w:r>
                  <w:r>
                    <w:rPr>
                      <w:rFonts w:hint="eastAsia" w:ascii="宋体" w:hAnsi="宋体" w:cs="仿宋"/>
                      <w:color w:val="000000"/>
                      <w:szCs w:val="21"/>
                      <w:lang w:val="en-US" w:eastAsia="zh-CN"/>
                    </w:rPr>
                    <w:t>10</w:t>
                  </w:r>
                  <w:r>
                    <w:rPr>
                      <w:rFonts w:hint="eastAsia" w:ascii="宋体" w:hAnsi="宋体" w:cs="仿宋"/>
                      <w:color w:val="000000"/>
                      <w:szCs w:val="21"/>
                      <w:lang w:eastAsia="zh-CN"/>
                    </w:rPr>
                    <w:t>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售后</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工期</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ind w:left="210" w:right="-92" w:rightChars="-44" w:hanging="210" w:hangingChars="100"/>
                    <w:jc w:val="both"/>
                    <w:rPr>
                      <w:rFonts w:hint="eastAsia" w:ascii="宋体" w:hAnsi="宋体" w:eastAsia="宋体" w:cs="仿宋"/>
                      <w:color w:val="000000"/>
                      <w:szCs w:val="21"/>
                      <w:lang w:eastAsia="zh-CN"/>
                    </w:rPr>
                  </w:pPr>
                  <w:r>
                    <w:rPr>
                      <w:rFonts w:hint="eastAsia" w:ascii="宋体" w:hAnsi="宋体" w:cs="仿宋"/>
                      <w:color w:val="000000"/>
                      <w:szCs w:val="21"/>
                      <w:lang w:eastAsia="zh-CN"/>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业务、技术培训</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（1）培训方案科学合理、完整、可行且有针对性的得 5分；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（2）培训方案全面，基本合理可行的得3分；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（3）培训方案不可行或未提供，不得分。</w:t>
                  </w:r>
                </w:p>
                <w:p>
                  <w:pPr>
                    <w:pStyle w:val="11"/>
                    <w:jc w:val="both"/>
                    <w:rPr>
                      <w:rFonts w:hint="eastAsia" w:ascii="宋体" w:hAnsi="宋体" w:eastAsia="宋体" w:cs="宋体"/>
                      <w:color w:val="000000"/>
                      <w:sz w:val="21"/>
                      <w:szCs w:val="21"/>
                      <w:lang w:eastAsia="zh-CN"/>
                    </w:rPr>
                  </w:pPr>
                </w:p>
                <w:p>
                  <w:pPr>
                    <w:pStyle w:val="11"/>
                    <w:jc w:val="both"/>
                    <w:rPr>
                      <w:rFonts w:hint="eastAsia" w:ascii="宋体" w:hAnsi="宋体" w:eastAsia="宋体" w:cs="宋体"/>
                      <w:color w:val="000000"/>
                      <w:sz w:val="21"/>
                      <w:szCs w:val="21"/>
                      <w:lang w:eastAsia="zh-CN"/>
                    </w:rPr>
                  </w:pP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ascii="宋体" w:hAnsi="宋体" w:cs="宋体"/>
                <w:szCs w:val="21"/>
              </w:rPr>
            </w:pPr>
          </w:p>
        </w:tc>
        <w:tc>
          <w:tcPr>
            <w:tcW w:w="63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both"/>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3903" w:type="pct"/>
            <w:gridSpan w:val="3"/>
            <w:tcBorders>
              <w:top w:val="single" w:color="auto" w:sz="4" w:space="0"/>
              <w:left w:val="single" w:color="auto" w:sz="4" w:space="0"/>
              <w:right w:val="single" w:color="auto" w:sz="4" w:space="0"/>
            </w:tcBorders>
            <w:shd w:val="clear" w:color="auto" w:fill="FFFFFF"/>
            <w:noWrap w:val="0"/>
            <w:vAlign w:val="center"/>
          </w:tcPr>
          <w:tbl>
            <w:tblPr>
              <w:tblStyle w:val="16"/>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15"/>
              <w:gridCol w:w="5517"/>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5" w:type="dxa"/>
                  <w:noWrap w:val="0"/>
                  <w:vAlign w:val="center"/>
                </w:tcPr>
                <w:p>
                  <w:pPr>
                    <w:jc w:val="center"/>
                    <w:rPr>
                      <w:rFonts w:hint="eastAsia" w:ascii="宋体" w:hAnsi="宋体" w:eastAsia="宋体" w:cs="仿宋"/>
                      <w:color w:val="000000"/>
                      <w:szCs w:val="21"/>
                      <w:lang w:eastAsia="zh-CN"/>
                    </w:rPr>
                  </w:pPr>
                  <w:bookmarkStart w:id="2" w:name="PO_technicalTable"/>
                  <w:r>
                    <w:rPr>
                      <w:rFonts w:hint="eastAsia" w:ascii="宋体" w:hAnsi="宋体" w:cs="仿宋"/>
                      <w:color w:val="000000"/>
                      <w:szCs w:val="21"/>
                      <w:lang w:eastAsia="zh-CN"/>
                    </w:rPr>
                    <w:t>参数响应</w:t>
                  </w:r>
                </w:p>
              </w:tc>
              <w:tc>
                <w:tcPr>
                  <w:tcW w:w="91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30</w:t>
                  </w:r>
                  <w:r>
                    <w:rPr>
                      <w:rFonts w:hint="eastAsia" w:ascii="宋体" w:hAnsi="宋体" w:cs="仿宋"/>
                      <w:color w:val="000000"/>
                      <w:szCs w:val="21"/>
                      <w:lang w:eastAsia="zh-CN"/>
                    </w:rPr>
                    <w:t>分</w:t>
                  </w:r>
                </w:p>
              </w:tc>
              <w:tc>
                <w:tcPr>
                  <w:tcW w:w="5517" w:type="dxa"/>
                  <w:noWrap w:val="0"/>
                  <w:vAlign w:val="top"/>
                </w:tcPr>
                <w:p>
                  <w:pPr>
                    <w:jc w:val="both"/>
                    <w:rPr>
                      <w:rFonts w:hint="eastAsia"/>
                      <w:lang w:val="en-US" w:eastAsia="zh-CN"/>
                    </w:rPr>
                  </w:pPr>
                  <w:r>
                    <w:rPr>
                      <w:rFonts w:hint="eastAsia"/>
                      <w:lang w:eastAsia="zh-CN"/>
                    </w:rPr>
                    <w:t>符合招标文件技术要求的得</w:t>
                  </w:r>
                  <w:r>
                    <w:rPr>
                      <w:rFonts w:hint="eastAsia"/>
                      <w:lang w:val="en-US" w:eastAsia="zh-CN"/>
                    </w:rPr>
                    <w:t>30分，一项普通</w:t>
                  </w:r>
                </w:p>
                <w:p>
                  <w:pPr>
                    <w:pStyle w:val="2"/>
                    <w:widowControl w:val="0"/>
                    <w:ind w:left="0" w:leftChars="0" w:firstLine="0" w:firstLineChars="0"/>
                    <w:jc w:val="both"/>
                    <w:rPr>
                      <w:rFonts w:hint="eastAsia" w:hAnsi="宋体" w:cs="仿宋"/>
                      <w:color w:val="000000"/>
                      <w:szCs w:val="21"/>
                      <w:lang w:val="en-US" w:eastAsia="zh-CN"/>
                    </w:rPr>
                  </w:pPr>
                  <w:r>
                    <w:rPr>
                      <w:rFonts w:hint="eastAsia"/>
                      <w:lang w:val="en-US" w:eastAsia="zh-CN"/>
                    </w:rPr>
                    <w:t>参数负偏离扣3分，一项星号参数</w:t>
                  </w:r>
                  <w:r>
                    <w:rPr>
                      <w:rFonts w:hint="eastAsia" w:hAnsi="宋体" w:cs="仿宋"/>
                      <w:color w:val="000000"/>
                      <w:szCs w:val="21"/>
                      <w:lang w:val="en-US" w:eastAsia="zh-CN"/>
                    </w:rPr>
                    <w:t>负偏</w:t>
                  </w:r>
                </w:p>
                <w:p>
                  <w:pPr>
                    <w:pStyle w:val="2"/>
                    <w:widowControl w:val="0"/>
                    <w:ind w:left="0" w:leftChars="0" w:firstLine="0" w:firstLineChars="0"/>
                    <w:jc w:val="both"/>
                    <w:rPr>
                      <w:rFonts w:hint="default"/>
                      <w:lang w:val="en-US" w:eastAsia="zh-CN"/>
                    </w:rPr>
                  </w:pPr>
                  <w:r>
                    <w:rPr>
                      <w:rFonts w:hint="eastAsia" w:hAnsi="宋体" w:cs="仿宋"/>
                      <w:color w:val="000000"/>
                      <w:szCs w:val="21"/>
                      <w:lang w:val="en-US" w:eastAsia="zh-CN"/>
                    </w:rPr>
                    <w:t>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897" w:type="pct"/>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5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2556"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5"/>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8"/>
        <w:rPr>
          <w:rFonts w:ascii="仿宋" w:hAnsi="仿宋" w:eastAsia="仿宋" w:cs="微软雅黑"/>
          <w:sz w:val="28"/>
          <w:szCs w:val="28"/>
        </w:rPr>
      </w:pPr>
    </w:p>
    <w:p>
      <w:pPr>
        <w:pStyle w:val="18"/>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8"/>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8"/>
        <w:rPr>
          <w:rFonts w:ascii="仿宋" w:hAnsi="仿宋" w:eastAsia="仿宋" w:cs="微软雅黑"/>
          <w:b/>
          <w:sz w:val="30"/>
          <w:szCs w:val="30"/>
        </w:rPr>
      </w:pPr>
      <w:r>
        <w:rPr>
          <w:rFonts w:hint="eastAsia" w:ascii="仿宋" w:hAnsi="仿宋" w:eastAsia="仿宋" w:cs="微软雅黑"/>
          <w:b/>
          <w:sz w:val="30"/>
          <w:szCs w:val="30"/>
        </w:rPr>
        <w:t>项目名称：</w:t>
      </w:r>
    </w:p>
    <w:p>
      <w:pPr>
        <w:pStyle w:val="18"/>
        <w:rPr>
          <w:rFonts w:ascii="仿宋" w:hAnsi="仿宋" w:eastAsia="仿宋" w:cs="微软雅黑"/>
          <w:b/>
          <w:sz w:val="30"/>
          <w:szCs w:val="30"/>
        </w:rPr>
      </w:pPr>
    </w:p>
    <w:p>
      <w:pPr>
        <w:pStyle w:val="18"/>
        <w:rPr>
          <w:rFonts w:ascii="仿宋" w:hAnsi="仿宋" w:eastAsia="仿宋" w:cs="微软雅黑"/>
          <w:b/>
          <w:sz w:val="30"/>
          <w:szCs w:val="30"/>
        </w:rPr>
      </w:pPr>
    </w:p>
    <w:p>
      <w:pPr>
        <w:pStyle w:val="18"/>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8"/>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8"/>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8"/>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6"/>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24244"/>
      <w:bookmarkStart w:id="8" w:name="_Toc345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12"/>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432149008"/>
      <w:bookmarkStart w:id="12" w:name="_Toc360120184"/>
      <w:bookmarkStart w:id="13" w:name="_Toc424832832"/>
      <w:bookmarkStart w:id="14" w:name="_Toc348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7"/>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7"/>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5"/>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5"/>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7229"/>
      <w:bookmarkStart w:id="25" w:name="_Toc476839034"/>
      <w:bookmarkStart w:id="26" w:name="_Toc4730"/>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9"/>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8"/>
      </w:pPr>
    </w:p>
    <w:p>
      <w:pPr>
        <w:pStyle w:val="18"/>
      </w:pPr>
    </w:p>
    <w:p>
      <w:pPr>
        <w:pStyle w:val="19"/>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9"/>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9"/>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8"/>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7415229"/>
    <w:rsid w:val="07EB13A4"/>
    <w:rsid w:val="084B01D7"/>
    <w:rsid w:val="0CC92570"/>
    <w:rsid w:val="0D8457A1"/>
    <w:rsid w:val="0DDF0373"/>
    <w:rsid w:val="0DF2282E"/>
    <w:rsid w:val="0E403660"/>
    <w:rsid w:val="0F8305F0"/>
    <w:rsid w:val="101573B7"/>
    <w:rsid w:val="12202184"/>
    <w:rsid w:val="13522ECA"/>
    <w:rsid w:val="13B462F0"/>
    <w:rsid w:val="17927BE3"/>
    <w:rsid w:val="17A33505"/>
    <w:rsid w:val="17B86DD4"/>
    <w:rsid w:val="181F700C"/>
    <w:rsid w:val="1D0F1E76"/>
    <w:rsid w:val="1D1030AC"/>
    <w:rsid w:val="20983921"/>
    <w:rsid w:val="20FB4DDF"/>
    <w:rsid w:val="221E19EC"/>
    <w:rsid w:val="23432D40"/>
    <w:rsid w:val="243829B1"/>
    <w:rsid w:val="256C7635"/>
    <w:rsid w:val="257C6BEF"/>
    <w:rsid w:val="26543C2E"/>
    <w:rsid w:val="274556FA"/>
    <w:rsid w:val="279B7D52"/>
    <w:rsid w:val="2A2013BF"/>
    <w:rsid w:val="2A7C189D"/>
    <w:rsid w:val="2AFB1A46"/>
    <w:rsid w:val="2C140AD4"/>
    <w:rsid w:val="2C3D0C5D"/>
    <w:rsid w:val="2CA25479"/>
    <w:rsid w:val="2CD258AD"/>
    <w:rsid w:val="2D8C7F44"/>
    <w:rsid w:val="2E020414"/>
    <w:rsid w:val="2EC76001"/>
    <w:rsid w:val="3032386A"/>
    <w:rsid w:val="305A62E5"/>
    <w:rsid w:val="31667204"/>
    <w:rsid w:val="32F02764"/>
    <w:rsid w:val="362E718F"/>
    <w:rsid w:val="38D92593"/>
    <w:rsid w:val="3A3A2866"/>
    <w:rsid w:val="3A4777B0"/>
    <w:rsid w:val="3C066E8E"/>
    <w:rsid w:val="3C5E715D"/>
    <w:rsid w:val="3CB90A0D"/>
    <w:rsid w:val="3DCC3519"/>
    <w:rsid w:val="3E6654CD"/>
    <w:rsid w:val="40DB69DC"/>
    <w:rsid w:val="419B6A3A"/>
    <w:rsid w:val="42520F10"/>
    <w:rsid w:val="42E1448F"/>
    <w:rsid w:val="42EE4CCF"/>
    <w:rsid w:val="469F7466"/>
    <w:rsid w:val="48500207"/>
    <w:rsid w:val="485141DF"/>
    <w:rsid w:val="4AF013C9"/>
    <w:rsid w:val="4D376A08"/>
    <w:rsid w:val="50350EE3"/>
    <w:rsid w:val="52325D6E"/>
    <w:rsid w:val="528E3F6F"/>
    <w:rsid w:val="52B646DC"/>
    <w:rsid w:val="52EF42D6"/>
    <w:rsid w:val="5518696D"/>
    <w:rsid w:val="572B149A"/>
    <w:rsid w:val="57DC1232"/>
    <w:rsid w:val="59354F1B"/>
    <w:rsid w:val="597015C7"/>
    <w:rsid w:val="5AB95F80"/>
    <w:rsid w:val="5C561774"/>
    <w:rsid w:val="60523DD7"/>
    <w:rsid w:val="614F743B"/>
    <w:rsid w:val="61C53F3E"/>
    <w:rsid w:val="623B5B62"/>
    <w:rsid w:val="62FF1C29"/>
    <w:rsid w:val="63066872"/>
    <w:rsid w:val="64F804EA"/>
    <w:rsid w:val="64FE58CD"/>
    <w:rsid w:val="652F38F2"/>
    <w:rsid w:val="66241728"/>
    <w:rsid w:val="66AB742B"/>
    <w:rsid w:val="68743B4D"/>
    <w:rsid w:val="68CC3B59"/>
    <w:rsid w:val="68F507E8"/>
    <w:rsid w:val="6A2A45E1"/>
    <w:rsid w:val="6A420E64"/>
    <w:rsid w:val="6AE41E6A"/>
    <w:rsid w:val="6BA839CF"/>
    <w:rsid w:val="6BDE45F3"/>
    <w:rsid w:val="6D215754"/>
    <w:rsid w:val="6EB63F89"/>
    <w:rsid w:val="6EFC20F8"/>
    <w:rsid w:val="715B78C5"/>
    <w:rsid w:val="729149D6"/>
    <w:rsid w:val="740F67E8"/>
    <w:rsid w:val="741846DC"/>
    <w:rsid w:val="752710C6"/>
    <w:rsid w:val="75410B72"/>
    <w:rsid w:val="755D6368"/>
    <w:rsid w:val="756379B6"/>
    <w:rsid w:val="759036F5"/>
    <w:rsid w:val="75E539C1"/>
    <w:rsid w:val="7749547D"/>
    <w:rsid w:val="78040C3C"/>
    <w:rsid w:val="78AD046C"/>
    <w:rsid w:val="78C552D3"/>
    <w:rsid w:val="794E7F42"/>
    <w:rsid w:val="7A946DA5"/>
    <w:rsid w:val="7ACD64DA"/>
    <w:rsid w:val="7B0532F4"/>
    <w:rsid w:val="7E194184"/>
    <w:rsid w:val="7E5F05A5"/>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Normal (Web)"/>
    <w:basedOn w:val="1"/>
    <w:qFormat/>
    <w:uiPriority w:val="99"/>
    <w:pPr>
      <w:widowControl/>
      <w:spacing w:before="100" w:beforeAutospacing="1" w:after="100" w:afterAutospacing="1"/>
      <w:jc w:val="left"/>
    </w:pPr>
    <w:rPr>
      <w:kern w:val="0"/>
      <w:sz w:val="24"/>
    </w:rPr>
  </w:style>
  <w:style w:type="paragraph" w:styleId="14">
    <w:name w:val="Body Text First Indent 2"/>
    <w:basedOn w:val="8"/>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20">
    <w:name w:val="List Paragraph"/>
    <w:basedOn w:val="1"/>
    <w:qFormat/>
    <w:uiPriority w:val="34"/>
    <w:pPr>
      <w:ind w:firstLine="420" w:firstLineChars="200"/>
    </w:pPr>
  </w:style>
  <w:style w:type="character" w:customStyle="1" w:styleId="21">
    <w:name w:val="font01"/>
    <w:basedOn w:val="17"/>
    <w:qFormat/>
    <w:uiPriority w:val="0"/>
    <w:rPr>
      <w:rFonts w:hint="eastAsia" w:ascii="宋体" w:hAnsi="宋体" w:eastAsia="宋体" w:cs="宋体"/>
      <w:color w:val="000000"/>
      <w:sz w:val="24"/>
      <w:szCs w:val="24"/>
      <w:u w:val="none"/>
    </w:rPr>
  </w:style>
  <w:style w:type="character" w:customStyle="1" w:styleId="22">
    <w:name w:val="font21"/>
    <w:basedOn w:val="17"/>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6026</Words>
  <Characters>6172</Characters>
  <Lines>0</Lines>
  <Paragraphs>0</Paragraphs>
  <TotalTime>5</TotalTime>
  <ScaleCrop>false</ScaleCrop>
  <LinksUpToDate>false</LinksUpToDate>
  <CharactersWithSpaces>6919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Administrator</cp:lastModifiedBy>
  <cp:lastPrinted>2024-09-10T08:13:00Z</cp:lastPrinted>
  <dcterms:modified xsi:type="dcterms:W3CDTF">2025-12-17T08:36:39Z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616149B0325E4795B48873E2CEFD0BFB</vt:lpwstr>
  </property>
</Properties>
</file>