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除颤仪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1、工作条件：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1.1、抗冲击能力：满足ISO9919关于院外转运设备冲击试验要求。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1.2、抗碰撞能力：满足救护车标准EN1789关于碰撞试验的要求。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1.3、抗跌落能力：满足救护车标准EN1789关于跌落试验的要求。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※1.4、防水性能：满足国际防护和防水试验标准，防水级别不少于IPX4。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2、技术规格：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2.1、除颤功能：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2.1.1、除颤模式：具备手动异步除颤、同步除颤和AED除颤。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※2.1.2、除颤波形：双向指数截断（BTE）波形。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※2.1.3、除颤能量选择范围：1-360J，能量可调。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2.1.4、电池供电时：200J&lt;5秒,360J&lt;8秒。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2.1.5、交流电供电时间：200J&lt;5秒,360J&lt;8秒。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※2.1.6、除颤电极板类型：成人、小儿一体化电极板。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2.1.7、具备手柄电极板除颤。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2.1.8、具备自动除颤中文语音提示。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2.1.9、具备除颤/起搏/监护多功能电极片。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2.2、监护显示：心电波形、心率，可选呼吸、血氧饱和度、无创血压。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2.3、心电监护：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2.3.1、病人连接：3导心电导联线，5导心电导联线，电极板，多功能电极片。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2.3.2、心电波形：心电波形扫描时间&gt;10s，扫描长度&gt;100mm。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2.3.3、心电信号范围：0.2mV-0.8mV。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2.3.4、心率测量精度：±1bpm或±1%，取大者。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2.4、起搏模式：固定起搏、按需起搏。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2.5、起搏波形：单向方波脉冲。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2.6、起搏频率：40-170次/分。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2.7、记录规格：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2.7.1、记录方式：高分辨率热敏点阵打印。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2.7.2、记录通道：不少于3通道波形。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2.8、可充电电池：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2.8.1、电池充电时间：关机状态：充电至90%&lt;2小时，充电至100%&lt;3小时。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2.8.2、除颤放电次数（200J）：≥100次。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2.8.3、连续监护时间：≥3小时。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74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2.8.4、电池配置数量：一块。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  <w:t>2.9、屏幕显示：彩色显示屏&gt;7”, 分辨率800×480，最多可显示3通道监护参数波形，有高对比度显示界面。具备外接屏幕显示功能。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lang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F4832"/>
    <w:rsid w:val="613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2025-12-09T02:48:00Z</dcterms:created>
  <dc:creator>Administrator</dc:creator>
  <cp:lastModifiedBy>Administrator</cp:lastModifiedBy>
  <dcterms:modified xsi:type="dcterms:W3CDTF">2025-12-09T02:48:51Z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