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24小时动态心电图监测仪、动态血压监测仪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5年12月</w:t>
            </w:r>
            <w:r>
              <w:rPr>
                <w:rFonts w:hint="default" w:ascii="微软雅黑" w:hAnsi="微软雅黑" w:eastAsia="微软雅黑" w:cs="微软雅黑"/>
                <w:b/>
                <w:bCs/>
                <w:color w:val="0070C0"/>
                <w:sz w:val="32"/>
                <w:szCs w:val="40"/>
                <w:highlight w:val="none"/>
                <w:u w:val="none"/>
                <w:lang w:val="en-US" w:eastAsia="zh-CN"/>
              </w:rPr>
              <w:t>18</w:t>
            </w:r>
            <w:r>
              <w:rPr>
                <w:rFonts w:hint="eastAsia" w:ascii="微软雅黑" w:hAnsi="微软雅黑" w:eastAsia="微软雅黑" w:cs="微软雅黑"/>
                <w:b/>
                <w:bCs/>
                <w:color w:val="0070C0"/>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b w:val="0"/>
          <w:bCs w:val="0"/>
          <w:sz w:val="21"/>
          <w:szCs w:val="21"/>
          <w:u w:val="none"/>
          <w:lang w:val="en-US" w:eastAsia="zh-CN"/>
        </w:rPr>
        <w:t>24小时动态心电图监测仪、动态血压监测仪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125400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w:t>
      </w:r>
      <w:r>
        <w:rPr>
          <w:rFonts w:hint="eastAsia" w:ascii="微软雅黑" w:hAnsi="微软雅黑" w:eastAsia="微软雅黑" w:cs="微软雅黑"/>
          <w:b w:val="0"/>
          <w:bCs w:val="0"/>
          <w:sz w:val="21"/>
          <w:szCs w:val="21"/>
          <w:u w:val="none"/>
          <w:lang w:val="en-US" w:eastAsia="zh-CN"/>
        </w:rPr>
        <w:t>24小时动态心电图监测仪3台、动态血压监测仪6台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报名时间：2025年12月</w:t>
      </w:r>
      <w:r>
        <w:rPr>
          <w:rFonts w:hint="default" w:ascii="微软雅黑" w:hAnsi="微软雅黑" w:eastAsia="微软雅黑" w:cs="微软雅黑"/>
          <w:b w:val="0"/>
          <w:bCs w:val="0"/>
          <w:color w:val="auto"/>
          <w:highlight w:val="none"/>
          <w:lang w:val="en-US" w:eastAsia="zh-CN"/>
        </w:rPr>
        <w:t>18</w:t>
      </w:r>
      <w:r>
        <w:rPr>
          <w:rFonts w:hint="eastAsia" w:ascii="微软雅黑" w:hAnsi="微软雅黑" w:eastAsia="微软雅黑" w:cs="微软雅黑"/>
          <w:b w:val="0"/>
          <w:bCs w:val="0"/>
          <w:color w:val="auto"/>
          <w:highlight w:val="none"/>
          <w:lang w:val="en-US" w:eastAsia="zh-CN"/>
        </w:rPr>
        <w:t>日0时0分起至2025年12月</w:t>
      </w:r>
      <w:r>
        <w:rPr>
          <w:rFonts w:hint="default" w:ascii="微软雅黑" w:hAnsi="微软雅黑" w:eastAsia="微软雅黑" w:cs="微软雅黑"/>
          <w:b w:val="0"/>
          <w:bCs w:val="0"/>
          <w:color w:val="auto"/>
          <w:highlight w:val="none"/>
          <w:lang w:val="en-US" w:eastAsia="zh-CN"/>
        </w:rPr>
        <w:t>24</w:t>
      </w:r>
      <w:r>
        <w:rPr>
          <w:rFonts w:hint="eastAsia" w:ascii="微软雅黑" w:hAnsi="微软雅黑" w:eastAsia="微软雅黑" w:cs="微软雅黑"/>
          <w:b w:val="0"/>
          <w:bCs w:val="0"/>
          <w:color w:val="auto"/>
          <w:highlight w:val="none"/>
          <w:lang w:val="en-US" w:eastAsia="zh-CN"/>
        </w:rPr>
        <w:t>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w:t>
            </w:r>
          </w:p>
        </w:tc>
        <w:tc>
          <w:tcPr>
            <w:tcW w:w="2884"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24小时动态心电图监测仪</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16000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lang w:val="en-US" w:eastAsia="zh-CN"/>
              </w:rPr>
            </w:pPr>
            <w:r>
              <w:rPr>
                <w:rFonts w:hint="eastAsia" w:ascii="微软雅黑" w:hAnsi="微软雅黑" w:eastAsia="微软雅黑" w:cs="微软雅黑"/>
                <w:lang w:val="en-US" w:eastAsia="zh-CN"/>
              </w:rPr>
              <w:t>2</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动态血压监测仪</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6</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12900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77400</w:t>
            </w: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jc w:val="center"/>
        <w:rPr>
          <w:rFonts w:hint="eastAsia"/>
          <w:sz w:val="24"/>
          <w:szCs w:val="24"/>
        </w:rPr>
      </w:pPr>
      <w:r>
        <w:rPr>
          <w:rFonts w:hint="eastAsia"/>
          <w:sz w:val="24"/>
          <w:szCs w:val="24"/>
          <w:lang w:val="en-US" w:eastAsia="zh-CN"/>
        </w:rPr>
        <w:t>24小时动态心电图</w:t>
      </w:r>
      <w:r>
        <w:rPr>
          <w:rFonts w:hint="eastAsia"/>
          <w:sz w:val="24"/>
          <w:szCs w:val="24"/>
          <w:lang w:eastAsia="zh-CN"/>
        </w:rPr>
        <w:t>监测</w:t>
      </w:r>
      <w:r>
        <w:rPr>
          <w:rFonts w:hint="eastAsia"/>
          <w:sz w:val="24"/>
          <w:szCs w:val="24"/>
        </w:rPr>
        <w:t>仪参数要求</w:t>
      </w:r>
    </w:p>
    <w:p>
      <w:pPr>
        <w:pStyle w:val="2"/>
        <w:rPr>
          <w:rFonts w:hint="eastAsia"/>
        </w:rPr>
      </w:pPr>
    </w:p>
    <w:p>
      <w:pPr>
        <w:rPr>
          <w:rFonts w:hint="eastAsia" w:ascii="宋体" w:hAnsi="宋体" w:eastAsia="宋体" w:cs="宋体"/>
          <w:sz w:val="21"/>
          <w:szCs w:val="21"/>
        </w:rPr>
      </w:pPr>
      <w:r>
        <w:rPr>
          <w:rFonts w:hint="eastAsia" w:ascii="宋体" w:hAnsi="宋体" w:eastAsia="宋体" w:cs="宋体"/>
          <w:sz w:val="21"/>
          <w:szCs w:val="21"/>
        </w:rPr>
        <w:t>1、在记录仪中可预置病人信息，杜绝混淆</w:t>
      </w:r>
    </w:p>
    <w:p>
      <w:pPr>
        <w:rPr>
          <w:rFonts w:hint="eastAsia" w:ascii="宋体" w:hAnsi="宋体" w:eastAsia="宋体" w:cs="宋体"/>
          <w:sz w:val="21"/>
          <w:szCs w:val="21"/>
        </w:rPr>
      </w:pPr>
      <w:r>
        <w:rPr>
          <w:rFonts w:hint="eastAsia" w:ascii="宋体" w:hAnsi="宋体" w:eastAsia="宋体" w:cs="宋体"/>
          <w:sz w:val="21"/>
          <w:szCs w:val="21"/>
        </w:rPr>
        <w:t>2、工作模式：12导联</w:t>
      </w:r>
    </w:p>
    <w:p>
      <w:pPr>
        <w:rPr>
          <w:rFonts w:hint="eastAsia" w:ascii="宋体" w:hAnsi="宋体" w:eastAsia="宋体" w:cs="宋体"/>
          <w:sz w:val="21"/>
          <w:szCs w:val="21"/>
        </w:rPr>
      </w:pPr>
      <w:r>
        <w:rPr>
          <w:rFonts w:hint="eastAsia" w:ascii="宋体" w:hAnsi="宋体" w:eastAsia="宋体" w:cs="宋体"/>
          <w:sz w:val="21"/>
          <w:szCs w:val="21"/>
        </w:rPr>
        <w:t>3、记录时间：24小时（48/72小时选配）</w:t>
      </w:r>
    </w:p>
    <w:p>
      <w:pPr>
        <w:rPr>
          <w:rFonts w:hint="eastAsia" w:ascii="宋体" w:hAnsi="宋体" w:eastAsia="宋体" w:cs="宋体"/>
          <w:sz w:val="21"/>
          <w:szCs w:val="21"/>
        </w:rPr>
      </w:pPr>
      <w:r>
        <w:rPr>
          <w:rFonts w:hint="eastAsia" w:ascii="宋体" w:hAnsi="宋体" w:eastAsia="宋体" w:cs="宋体"/>
          <w:sz w:val="21"/>
          <w:szCs w:val="21"/>
        </w:rPr>
        <w:t>4、电源：1节5号电池（AA）碱性电池或直流电</w:t>
      </w:r>
    </w:p>
    <w:p>
      <w:pPr>
        <w:rPr>
          <w:rFonts w:hint="eastAsia" w:ascii="宋体" w:hAnsi="宋体" w:eastAsia="宋体" w:cs="宋体"/>
          <w:sz w:val="21"/>
          <w:szCs w:val="21"/>
        </w:rPr>
      </w:pPr>
      <w:r>
        <w:rPr>
          <w:rFonts w:hint="eastAsia" w:ascii="宋体" w:hAnsi="宋体" w:eastAsia="宋体" w:cs="宋体"/>
          <w:sz w:val="21"/>
          <w:szCs w:val="21"/>
        </w:rPr>
        <w:t>5、电极数量：10电极</w:t>
      </w:r>
    </w:p>
    <w:p>
      <w:pPr>
        <w:rPr>
          <w:rFonts w:hint="eastAsia" w:ascii="宋体" w:hAnsi="宋体" w:eastAsia="宋体" w:cs="宋体"/>
          <w:sz w:val="21"/>
          <w:szCs w:val="21"/>
        </w:rPr>
      </w:pPr>
      <w:r>
        <w:rPr>
          <w:rFonts w:hint="eastAsia" w:ascii="宋体" w:hAnsi="宋体" w:eastAsia="宋体" w:cs="宋体"/>
          <w:sz w:val="21"/>
          <w:szCs w:val="21"/>
        </w:rPr>
        <w:t>6、采样率：最高10000HZ</w:t>
      </w:r>
    </w:p>
    <w:p>
      <w:pPr>
        <w:rPr>
          <w:rFonts w:hint="eastAsia" w:ascii="宋体" w:hAnsi="宋体" w:eastAsia="宋体" w:cs="宋体"/>
          <w:sz w:val="21"/>
          <w:szCs w:val="21"/>
        </w:rPr>
      </w:pPr>
      <w:r>
        <w:rPr>
          <w:rFonts w:hint="eastAsia" w:ascii="宋体" w:hAnsi="宋体" w:eastAsia="宋体" w:cs="宋体"/>
          <w:sz w:val="21"/>
          <w:szCs w:val="21"/>
        </w:rPr>
        <w:t>7、ADC 分辦率：12位</w:t>
      </w:r>
    </w:p>
    <w:p>
      <w:pPr>
        <w:rPr>
          <w:rFonts w:hint="eastAsia" w:ascii="宋体" w:hAnsi="宋体" w:eastAsia="宋体" w:cs="宋体"/>
          <w:sz w:val="21"/>
          <w:szCs w:val="21"/>
        </w:rPr>
      </w:pPr>
      <w:r>
        <w:rPr>
          <w:rFonts w:hint="eastAsia" w:ascii="宋体" w:hAnsi="宋体" w:eastAsia="宋体" w:cs="宋体"/>
          <w:sz w:val="21"/>
          <w:szCs w:val="21"/>
        </w:rPr>
        <w:t>8、共模抑制比：≥80dB</w:t>
      </w:r>
    </w:p>
    <w:p>
      <w:pPr>
        <w:rPr>
          <w:rFonts w:hint="eastAsia" w:ascii="宋体" w:hAnsi="宋体" w:eastAsia="宋体" w:cs="宋体"/>
          <w:sz w:val="21"/>
          <w:szCs w:val="21"/>
        </w:rPr>
      </w:pPr>
      <w:r>
        <w:rPr>
          <w:rFonts w:hint="eastAsia" w:ascii="宋体" w:hAnsi="宋体" w:eastAsia="宋体" w:cs="宋体"/>
          <w:sz w:val="21"/>
          <w:szCs w:val="21"/>
        </w:rPr>
        <w:t>9、存储方式：内置SD 存储卡</w:t>
      </w:r>
    </w:p>
    <w:p>
      <w:pPr>
        <w:pStyle w:val="2"/>
        <w:rPr>
          <w:rFonts w:hint="eastAsia" w:ascii="宋体" w:hAnsi="宋体" w:eastAsia="宋体" w:cs="宋体"/>
          <w:sz w:val="21"/>
          <w:szCs w:val="21"/>
        </w:rPr>
      </w:pPr>
    </w:p>
    <w:p>
      <w:pPr>
        <w:jc w:val="center"/>
        <w:rPr>
          <w:rFonts w:hint="eastAsia"/>
          <w:sz w:val="24"/>
          <w:szCs w:val="24"/>
        </w:rPr>
      </w:pPr>
      <w:r>
        <w:rPr>
          <w:rFonts w:hint="eastAsia"/>
          <w:sz w:val="24"/>
          <w:szCs w:val="24"/>
          <w:lang w:val="en-US" w:eastAsia="zh-CN"/>
        </w:rPr>
        <w:t>动态血压</w:t>
      </w:r>
      <w:r>
        <w:rPr>
          <w:rFonts w:hint="eastAsia"/>
          <w:sz w:val="24"/>
          <w:szCs w:val="24"/>
          <w:lang w:eastAsia="zh-CN"/>
        </w:rPr>
        <w:t>监测</w:t>
      </w:r>
      <w:r>
        <w:rPr>
          <w:rFonts w:hint="eastAsia"/>
          <w:sz w:val="24"/>
          <w:szCs w:val="24"/>
        </w:rPr>
        <w:t>仪参数要求</w:t>
      </w:r>
    </w:p>
    <w:p>
      <w:pPr>
        <w:pStyle w:val="2"/>
        <w:rPr>
          <w:rFonts w:hint="default"/>
          <w:lang w:val="en-US"/>
        </w:rPr>
      </w:pPr>
      <w:r>
        <w:rPr>
          <w:rFonts w:hint="default"/>
          <w:sz w:val="24"/>
          <w:szCs w:val="24"/>
          <w:lang w:val="en-US"/>
        </w:rPr>
        <w:t xml:space="preserve">                              </w:t>
      </w:r>
      <w:bookmarkStart w:id="29" w:name="_GoBack"/>
      <w:bookmarkEnd w:id="29"/>
    </w:p>
    <w:p>
      <w:pPr>
        <w:rPr>
          <w:rFonts w:hint="eastAsia" w:ascii="宋体" w:hAnsi="宋体" w:eastAsia="宋体" w:cs="宋体"/>
          <w:sz w:val="21"/>
          <w:szCs w:val="21"/>
        </w:rPr>
      </w:pPr>
      <w:r>
        <w:rPr>
          <w:rFonts w:hint="eastAsia" w:ascii="宋体" w:hAnsi="宋体" w:eastAsia="宋体" w:cs="宋体"/>
          <w:sz w:val="21"/>
          <w:szCs w:val="21"/>
        </w:rPr>
        <w:t>1、记录时间：24小时、48小时</w:t>
      </w:r>
    </w:p>
    <w:p>
      <w:pPr>
        <w:rPr>
          <w:rFonts w:hint="eastAsia" w:ascii="宋体" w:hAnsi="宋体" w:eastAsia="宋体" w:cs="宋体"/>
          <w:sz w:val="21"/>
          <w:szCs w:val="21"/>
        </w:rPr>
      </w:pPr>
      <w:r>
        <w:rPr>
          <w:rFonts w:hint="eastAsia" w:ascii="宋体" w:hAnsi="宋体" w:eastAsia="宋体" w:cs="宋体"/>
          <w:sz w:val="21"/>
          <w:szCs w:val="21"/>
        </w:rPr>
        <w:t>2、存储方式：适配现有系统</w:t>
      </w:r>
    </w:p>
    <w:p>
      <w:pPr>
        <w:rPr>
          <w:rFonts w:hint="eastAsia" w:ascii="宋体" w:hAnsi="宋体" w:eastAsia="宋体" w:cs="宋体"/>
          <w:sz w:val="21"/>
          <w:szCs w:val="21"/>
        </w:rPr>
      </w:pPr>
      <w:r>
        <w:rPr>
          <w:rFonts w:hint="eastAsia" w:ascii="宋体" w:hAnsi="宋体" w:eastAsia="宋体" w:cs="宋体"/>
          <w:sz w:val="21"/>
          <w:szCs w:val="21"/>
        </w:rPr>
        <w:t>3、电源功率：直流电或两节5号（AA）碱性电池 功率≤3VA</w:t>
      </w:r>
    </w:p>
    <w:p>
      <w:pPr>
        <w:rPr>
          <w:rFonts w:hint="eastAsia" w:ascii="宋体" w:hAnsi="宋体" w:eastAsia="宋体" w:cs="宋体"/>
          <w:sz w:val="21"/>
          <w:szCs w:val="21"/>
        </w:rPr>
      </w:pPr>
      <w:r>
        <w:rPr>
          <w:rFonts w:hint="eastAsia" w:ascii="宋体" w:hAnsi="宋体" w:eastAsia="宋体" w:cs="宋体"/>
          <w:sz w:val="21"/>
          <w:szCs w:val="21"/>
        </w:rPr>
        <w:t>4、示值范围：0-300mmhg</w:t>
      </w:r>
    </w:p>
    <w:p>
      <w:pPr>
        <w:rPr>
          <w:rFonts w:hint="eastAsia" w:ascii="宋体" w:hAnsi="宋体" w:eastAsia="宋体" w:cs="宋体"/>
          <w:sz w:val="21"/>
          <w:szCs w:val="21"/>
        </w:rPr>
      </w:pPr>
      <w:r>
        <w:rPr>
          <w:rFonts w:hint="eastAsia" w:ascii="宋体" w:hAnsi="宋体" w:eastAsia="宋体" w:cs="宋体"/>
          <w:sz w:val="21"/>
          <w:szCs w:val="21"/>
        </w:rPr>
        <w:t>5、零位误差：≤1 mmhg；示值误差：≤3mmhg</w:t>
      </w:r>
    </w:p>
    <w:p>
      <w:pPr>
        <w:rPr>
          <w:rFonts w:hint="eastAsia" w:ascii="宋体" w:hAnsi="宋体" w:eastAsia="宋体" w:cs="宋体"/>
          <w:sz w:val="21"/>
          <w:szCs w:val="21"/>
        </w:rPr>
      </w:pPr>
      <w:r>
        <w:rPr>
          <w:rFonts w:hint="eastAsia" w:ascii="宋体" w:hAnsi="宋体" w:eastAsia="宋体" w:cs="宋体"/>
          <w:sz w:val="21"/>
          <w:szCs w:val="21"/>
        </w:rPr>
        <w:t>6、存储方式：内置SD 存储卡</w:t>
      </w:r>
    </w:p>
    <w:p>
      <w:pPr>
        <w:rPr>
          <w:rFonts w:hint="eastAsia" w:ascii="宋体" w:hAnsi="宋体" w:eastAsia="宋体" w:cs="宋体"/>
          <w:sz w:val="21"/>
          <w:szCs w:val="21"/>
        </w:rPr>
      </w:pPr>
      <w:r>
        <w:rPr>
          <w:rFonts w:hint="eastAsia" w:ascii="宋体" w:hAnsi="宋体" w:eastAsia="宋体" w:cs="宋体"/>
          <w:sz w:val="21"/>
          <w:szCs w:val="21"/>
        </w:rPr>
        <w:t>7、存储容量：4G</w:t>
      </w:r>
    </w:p>
    <w:p>
      <w:pPr>
        <w:rPr>
          <w:rFonts w:hint="eastAsia"/>
        </w:rPr>
      </w:pPr>
    </w:p>
    <w:p>
      <w:pPr>
        <w:rPr>
          <w:rFonts w:hint="default"/>
          <w:lang w:val="en-US" w:eastAsia="zh-CN"/>
        </w:rPr>
      </w:pPr>
    </w:p>
    <w:p>
      <w:pPr>
        <w:pStyle w:val="2"/>
        <w:rPr>
          <w:rFonts w:hint="default"/>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8"/>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0"/>
        <w:gridCol w:w="1365"/>
        <w:gridCol w:w="930"/>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462" w:type="pct"/>
            <w:vMerge w:val="restart"/>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3903" w:type="pct"/>
            <w:gridSpan w:val="3"/>
            <w:tcBorders>
              <w:top w:val="single" w:color="auto" w:sz="4" w:space="0"/>
              <w:left w:val="single" w:color="auto" w:sz="4" w:space="0"/>
              <w:right w:val="single" w:color="auto" w:sz="4" w:space="0"/>
            </w:tcBorders>
            <w:noWrap w:val="0"/>
            <w:vAlign w:val="center"/>
          </w:tcPr>
          <w:tbl>
            <w:tblPr>
              <w:tblStyle w:val="16"/>
              <w:tblpPr w:leftFromText="180" w:rightFromText="180" w:vertAnchor="text" w:tblpY="1"/>
              <w:tblOverlap w:val="never"/>
              <w:tblW w:w="6510"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45"/>
              <w:gridCol w:w="4323"/>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bookmarkStart w:id="1" w:name="PO_businessTable"/>
                  <w:r>
                    <w:rPr>
                      <w:rFonts w:hint="eastAsia" w:ascii="宋体" w:hAnsi="宋体" w:cs="仿宋"/>
                      <w:color w:val="000000"/>
                      <w:szCs w:val="21"/>
                      <w:lang w:eastAsia="zh-CN"/>
                    </w:rPr>
                    <w:t>运行成本</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15</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耗材、易损件使用情况、医疗保险报销情况及其它优惠条件。（成本最低为基准，按等比例折算）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业绩</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10</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投标人（代理商或制造商）提供近三年（招标截止时间前36个月，以合同签订时间为准）的类似项目业绩。每提供1个得</w:t>
                  </w:r>
                  <w:r>
                    <w:rPr>
                      <w:rFonts w:hint="eastAsia" w:ascii="宋体" w:hAnsi="宋体" w:cs="仿宋"/>
                      <w:color w:val="000000"/>
                      <w:szCs w:val="21"/>
                      <w:lang w:val="en-US" w:eastAsia="zh-CN"/>
                    </w:rPr>
                    <w:t>2</w:t>
                  </w:r>
                  <w:r>
                    <w:rPr>
                      <w:rFonts w:hint="eastAsia" w:ascii="宋体" w:hAnsi="宋体" w:cs="仿宋"/>
                      <w:color w:val="000000"/>
                      <w:szCs w:val="21"/>
                      <w:lang w:eastAsia="zh-CN"/>
                    </w:rPr>
                    <w:t>分，最高得</w:t>
                  </w:r>
                  <w:r>
                    <w:rPr>
                      <w:rFonts w:hint="eastAsia" w:ascii="宋体" w:hAnsi="宋体" w:cs="仿宋"/>
                      <w:color w:val="000000"/>
                      <w:szCs w:val="21"/>
                      <w:lang w:val="en-US" w:eastAsia="zh-CN"/>
                    </w:rPr>
                    <w:t>10</w:t>
                  </w:r>
                  <w:r>
                    <w:rPr>
                      <w:rFonts w:hint="eastAsia" w:ascii="宋体" w:hAnsi="宋体" w:cs="仿宋"/>
                      <w:color w:val="000000"/>
                      <w:szCs w:val="21"/>
                      <w:lang w:eastAsia="zh-CN"/>
                    </w:rPr>
                    <w:t>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售后</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工期</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ind w:left="210" w:right="-92" w:rightChars="-44" w:hanging="210" w:hangingChars="100"/>
                    <w:jc w:val="both"/>
                    <w:rPr>
                      <w:rFonts w:hint="eastAsia" w:ascii="宋体" w:hAnsi="宋体" w:eastAsia="宋体" w:cs="仿宋"/>
                      <w:color w:val="000000"/>
                      <w:szCs w:val="21"/>
                      <w:lang w:eastAsia="zh-CN"/>
                    </w:rPr>
                  </w:pPr>
                  <w:r>
                    <w:rPr>
                      <w:rFonts w:hint="eastAsia" w:ascii="宋体" w:hAnsi="宋体" w:cs="仿宋"/>
                      <w:color w:val="000000"/>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业务、技术培训</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（1）培训方案科学合理、完整、可行且有针对性的得 5分；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（2）培训方案全面，基本合理可行的得3分；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（3）培训方案不可行或未提供，不得分。</w:t>
                  </w:r>
                </w:p>
                <w:p>
                  <w:pPr>
                    <w:pStyle w:val="11"/>
                    <w:jc w:val="both"/>
                    <w:rPr>
                      <w:rFonts w:hint="eastAsia" w:ascii="宋体" w:hAnsi="宋体" w:eastAsia="宋体" w:cs="宋体"/>
                      <w:color w:val="000000"/>
                      <w:sz w:val="21"/>
                      <w:szCs w:val="21"/>
                      <w:lang w:eastAsia="zh-CN"/>
                    </w:rPr>
                  </w:pPr>
                </w:p>
                <w:p>
                  <w:pPr>
                    <w:pStyle w:val="11"/>
                    <w:jc w:val="both"/>
                    <w:rPr>
                      <w:rFonts w:hint="eastAsia" w:ascii="宋体" w:hAnsi="宋体" w:eastAsia="宋体" w:cs="宋体"/>
                      <w:color w:val="000000"/>
                      <w:sz w:val="21"/>
                      <w:szCs w:val="21"/>
                      <w:lang w:eastAsia="zh-CN"/>
                    </w:rPr>
                  </w:pP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cs="宋体"/>
                <w:szCs w:val="21"/>
              </w:rPr>
            </w:pPr>
          </w:p>
        </w:tc>
        <w:tc>
          <w:tcPr>
            <w:tcW w:w="63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both"/>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3903" w:type="pct"/>
            <w:gridSpan w:val="3"/>
            <w:tcBorders>
              <w:top w:val="single" w:color="auto" w:sz="4" w:space="0"/>
              <w:left w:val="single" w:color="auto" w:sz="4" w:space="0"/>
              <w:right w:val="single" w:color="auto" w:sz="4" w:space="0"/>
            </w:tcBorders>
            <w:shd w:val="clear" w:color="auto" w:fill="FFFFFF"/>
            <w:noWrap w:val="0"/>
            <w:vAlign w:val="center"/>
          </w:tcPr>
          <w:tbl>
            <w:tblPr>
              <w:tblStyle w:val="16"/>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15"/>
              <w:gridCol w:w="5517"/>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5" w:type="dxa"/>
                  <w:noWrap w:val="0"/>
                  <w:vAlign w:val="center"/>
                </w:tcPr>
                <w:p>
                  <w:pPr>
                    <w:jc w:val="center"/>
                    <w:rPr>
                      <w:rFonts w:hint="eastAsia" w:ascii="宋体" w:hAnsi="宋体" w:eastAsia="宋体" w:cs="仿宋"/>
                      <w:color w:val="000000"/>
                      <w:szCs w:val="21"/>
                      <w:lang w:eastAsia="zh-CN"/>
                    </w:rPr>
                  </w:pPr>
                  <w:bookmarkStart w:id="2" w:name="PO_technicalTable"/>
                  <w:r>
                    <w:rPr>
                      <w:rFonts w:hint="eastAsia" w:ascii="宋体" w:hAnsi="宋体" w:cs="仿宋"/>
                      <w:color w:val="000000"/>
                      <w:szCs w:val="21"/>
                      <w:lang w:eastAsia="zh-CN"/>
                    </w:rPr>
                    <w:t>参数响应</w:t>
                  </w:r>
                </w:p>
              </w:tc>
              <w:tc>
                <w:tcPr>
                  <w:tcW w:w="91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30</w:t>
                  </w:r>
                  <w:r>
                    <w:rPr>
                      <w:rFonts w:hint="eastAsia" w:ascii="宋体" w:hAnsi="宋体" w:cs="仿宋"/>
                      <w:color w:val="000000"/>
                      <w:szCs w:val="21"/>
                      <w:lang w:eastAsia="zh-CN"/>
                    </w:rPr>
                    <w:t>分</w:t>
                  </w:r>
                </w:p>
              </w:tc>
              <w:tc>
                <w:tcPr>
                  <w:tcW w:w="5517" w:type="dxa"/>
                  <w:noWrap w:val="0"/>
                  <w:vAlign w:val="top"/>
                </w:tcPr>
                <w:p>
                  <w:pPr>
                    <w:jc w:val="both"/>
                    <w:rPr>
                      <w:rFonts w:hint="eastAsia"/>
                      <w:lang w:val="en-US" w:eastAsia="zh-CN"/>
                    </w:rPr>
                  </w:pPr>
                  <w:r>
                    <w:rPr>
                      <w:rFonts w:hint="eastAsia"/>
                      <w:lang w:eastAsia="zh-CN"/>
                    </w:rPr>
                    <w:t>符合招标文件技术要求的得</w:t>
                  </w:r>
                  <w:r>
                    <w:rPr>
                      <w:rFonts w:hint="eastAsia"/>
                      <w:lang w:val="en-US" w:eastAsia="zh-CN"/>
                    </w:rPr>
                    <w:t>30分，一项普通</w:t>
                  </w:r>
                </w:p>
                <w:p>
                  <w:pPr>
                    <w:pStyle w:val="2"/>
                    <w:widowControl w:val="0"/>
                    <w:ind w:left="0" w:leftChars="0" w:firstLine="0" w:firstLineChars="0"/>
                    <w:jc w:val="both"/>
                    <w:rPr>
                      <w:rFonts w:hint="eastAsia" w:hAnsi="宋体" w:cs="仿宋"/>
                      <w:color w:val="000000"/>
                      <w:szCs w:val="21"/>
                      <w:lang w:val="en-US" w:eastAsia="zh-CN"/>
                    </w:rPr>
                  </w:pPr>
                  <w:r>
                    <w:rPr>
                      <w:rFonts w:hint="eastAsia"/>
                      <w:lang w:val="en-US" w:eastAsia="zh-CN"/>
                    </w:rPr>
                    <w:t>参数负偏离扣3分，一项星号参数</w:t>
                  </w:r>
                  <w:r>
                    <w:rPr>
                      <w:rFonts w:hint="eastAsia" w:hAnsi="宋体" w:cs="仿宋"/>
                      <w:color w:val="000000"/>
                      <w:szCs w:val="21"/>
                      <w:lang w:val="en-US" w:eastAsia="zh-CN"/>
                    </w:rPr>
                    <w:t>负偏</w:t>
                  </w:r>
                </w:p>
                <w:p>
                  <w:pPr>
                    <w:pStyle w:val="2"/>
                    <w:widowControl w:val="0"/>
                    <w:ind w:left="0" w:leftChars="0" w:firstLine="0" w:firstLineChars="0"/>
                    <w:jc w:val="both"/>
                    <w:rPr>
                      <w:rFonts w:hint="default"/>
                      <w:lang w:val="en-US" w:eastAsia="zh-CN"/>
                    </w:rPr>
                  </w:pPr>
                  <w:r>
                    <w:rPr>
                      <w:rFonts w:hint="eastAsia" w:hAnsi="宋体" w:cs="仿宋"/>
                      <w:color w:val="000000"/>
                      <w:szCs w:val="21"/>
                      <w:lang w:val="en-US" w:eastAsia="zh-CN"/>
                    </w:rPr>
                    <w:t>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897" w:type="pct"/>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5"/>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8"/>
        <w:rPr>
          <w:rFonts w:ascii="仿宋" w:hAnsi="仿宋" w:eastAsia="仿宋" w:cs="微软雅黑"/>
          <w:sz w:val="28"/>
          <w:szCs w:val="28"/>
        </w:rPr>
      </w:pPr>
    </w:p>
    <w:p>
      <w:pPr>
        <w:pStyle w:val="18"/>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8"/>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8"/>
        <w:rPr>
          <w:rFonts w:ascii="仿宋" w:hAnsi="仿宋" w:eastAsia="仿宋" w:cs="微软雅黑"/>
          <w:b/>
          <w:sz w:val="30"/>
          <w:szCs w:val="30"/>
        </w:rPr>
      </w:pPr>
      <w:r>
        <w:rPr>
          <w:rFonts w:hint="eastAsia" w:ascii="仿宋" w:hAnsi="仿宋" w:eastAsia="仿宋" w:cs="微软雅黑"/>
          <w:b/>
          <w:sz w:val="30"/>
          <w:szCs w:val="30"/>
        </w:rPr>
        <w:t>项目名称：</w:t>
      </w:r>
    </w:p>
    <w:p>
      <w:pPr>
        <w:pStyle w:val="18"/>
        <w:rPr>
          <w:rFonts w:ascii="仿宋" w:hAnsi="仿宋" w:eastAsia="仿宋" w:cs="微软雅黑"/>
          <w:b/>
          <w:sz w:val="30"/>
          <w:szCs w:val="30"/>
        </w:rPr>
      </w:pPr>
    </w:p>
    <w:p>
      <w:pPr>
        <w:pStyle w:val="18"/>
        <w:rPr>
          <w:rFonts w:ascii="仿宋" w:hAnsi="仿宋" w:eastAsia="仿宋" w:cs="微软雅黑"/>
          <w:b/>
          <w:sz w:val="30"/>
          <w:szCs w:val="30"/>
        </w:rPr>
      </w:pPr>
    </w:p>
    <w:p>
      <w:pPr>
        <w:pStyle w:val="18"/>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8"/>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6"/>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24244"/>
      <w:bookmarkStart w:id="8" w:name="_Toc345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432149008"/>
      <w:bookmarkStart w:id="12" w:name="_Toc360120184"/>
      <w:bookmarkStart w:id="13" w:name="_Toc424832832"/>
      <w:bookmarkStart w:id="14" w:name="_Toc348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5"/>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7229"/>
      <w:bookmarkStart w:id="25" w:name="_Toc4730"/>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9"/>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8"/>
      </w:pPr>
    </w:p>
    <w:p>
      <w:pPr>
        <w:pStyle w:val="18"/>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9"/>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8"/>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A1D70ED"/>
    <w:rsid w:val="0CC92570"/>
    <w:rsid w:val="0D8457A1"/>
    <w:rsid w:val="0DDF0373"/>
    <w:rsid w:val="0DF2282E"/>
    <w:rsid w:val="0E403660"/>
    <w:rsid w:val="0F8305F0"/>
    <w:rsid w:val="101573B7"/>
    <w:rsid w:val="12202184"/>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A2013BF"/>
    <w:rsid w:val="2A7C189D"/>
    <w:rsid w:val="2AFB1A46"/>
    <w:rsid w:val="2C140AD4"/>
    <w:rsid w:val="2C3D0C5D"/>
    <w:rsid w:val="2CA25479"/>
    <w:rsid w:val="2CD258AD"/>
    <w:rsid w:val="2D8C7F44"/>
    <w:rsid w:val="2DC5039D"/>
    <w:rsid w:val="2E020414"/>
    <w:rsid w:val="2EC76001"/>
    <w:rsid w:val="3032386A"/>
    <w:rsid w:val="305A62E5"/>
    <w:rsid w:val="31667204"/>
    <w:rsid w:val="32F02764"/>
    <w:rsid w:val="362E718F"/>
    <w:rsid w:val="38D92593"/>
    <w:rsid w:val="3A3A2866"/>
    <w:rsid w:val="3A4777B0"/>
    <w:rsid w:val="3C5E715D"/>
    <w:rsid w:val="3CB90A0D"/>
    <w:rsid w:val="3DCC3519"/>
    <w:rsid w:val="3E6654CD"/>
    <w:rsid w:val="40DB69DC"/>
    <w:rsid w:val="419B6A3A"/>
    <w:rsid w:val="42520F10"/>
    <w:rsid w:val="42E1448F"/>
    <w:rsid w:val="42EE4CCF"/>
    <w:rsid w:val="469F7466"/>
    <w:rsid w:val="48500207"/>
    <w:rsid w:val="485141DF"/>
    <w:rsid w:val="4AF013C9"/>
    <w:rsid w:val="4D376A08"/>
    <w:rsid w:val="50350EE3"/>
    <w:rsid w:val="52325D6E"/>
    <w:rsid w:val="52B646DC"/>
    <w:rsid w:val="52EF42D6"/>
    <w:rsid w:val="5518696D"/>
    <w:rsid w:val="572B149A"/>
    <w:rsid w:val="57DC1232"/>
    <w:rsid w:val="59354F1B"/>
    <w:rsid w:val="597015C7"/>
    <w:rsid w:val="5AB95F80"/>
    <w:rsid w:val="60523DD7"/>
    <w:rsid w:val="60822810"/>
    <w:rsid w:val="614F743B"/>
    <w:rsid w:val="61C53F3E"/>
    <w:rsid w:val="623B5B62"/>
    <w:rsid w:val="62FF1C29"/>
    <w:rsid w:val="63066872"/>
    <w:rsid w:val="64F804EA"/>
    <w:rsid w:val="64FE58CD"/>
    <w:rsid w:val="652F38F2"/>
    <w:rsid w:val="66241728"/>
    <w:rsid w:val="66AB742B"/>
    <w:rsid w:val="68743B4D"/>
    <w:rsid w:val="68CC3B59"/>
    <w:rsid w:val="68F507E8"/>
    <w:rsid w:val="6A2A45E1"/>
    <w:rsid w:val="6A420E64"/>
    <w:rsid w:val="6AE41E6A"/>
    <w:rsid w:val="6BA839CF"/>
    <w:rsid w:val="6BDE45F3"/>
    <w:rsid w:val="6D215754"/>
    <w:rsid w:val="6EB63F89"/>
    <w:rsid w:val="6EFC20F8"/>
    <w:rsid w:val="715B78C5"/>
    <w:rsid w:val="729149D6"/>
    <w:rsid w:val="740F67E8"/>
    <w:rsid w:val="741846DC"/>
    <w:rsid w:val="752710C6"/>
    <w:rsid w:val="75410B72"/>
    <w:rsid w:val="755D6368"/>
    <w:rsid w:val="756379B6"/>
    <w:rsid w:val="759036F5"/>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Normal (Web)"/>
    <w:basedOn w:val="1"/>
    <w:qFormat/>
    <w:uiPriority w:val="99"/>
    <w:pPr>
      <w:widowControl/>
      <w:spacing w:before="100" w:beforeAutospacing="1" w:after="100" w:afterAutospacing="1"/>
      <w:jc w:val="left"/>
    </w:pPr>
    <w:rPr>
      <w:kern w:val="0"/>
      <w:sz w:val="24"/>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20">
    <w:name w:val="List Paragraph"/>
    <w:basedOn w:val="1"/>
    <w:qFormat/>
    <w:uiPriority w:val="34"/>
    <w:pPr>
      <w:ind w:firstLine="420" w:firstLineChars="200"/>
    </w:pPr>
  </w:style>
  <w:style w:type="character" w:customStyle="1" w:styleId="21">
    <w:name w:val="font01"/>
    <w:basedOn w:val="17"/>
    <w:qFormat/>
    <w:uiPriority w:val="0"/>
    <w:rPr>
      <w:rFonts w:hint="eastAsia" w:ascii="宋体" w:hAnsi="宋体" w:eastAsia="宋体" w:cs="宋体"/>
      <w:color w:val="000000"/>
      <w:sz w:val="24"/>
      <w:szCs w:val="24"/>
      <w:u w:val="none"/>
    </w:rPr>
  </w:style>
  <w:style w:type="character" w:customStyle="1" w:styleId="22">
    <w:name w:val="font21"/>
    <w:basedOn w:val="17"/>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3</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2025-12-17T08:45:03Z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