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中频治疗仪</w:t>
      </w:r>
      <w:bookmarkEnd w:id="0"/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1、载波波形为正弦波，载波频率：1kHz～12kHz，其允差±5%；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2、最大输出电流:应为0-75mA（r.m.s），允差±10%；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3、电流变化率：治疗仪负载在 500Ω士50Ω范围内，输出电流变化率不大于10%；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4、调制频率范围：治疗仪调制频率范围为0-150Hz,允差±10%；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5、调制波形：正弦波、三角波以及方波;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6、调幅度：治疗仪的调幅度0%-100%范围内，允差±5%；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7、差频频率范围：干扰电差频频率应在0-200Hz范围，允差±10%或者±1Hz取较大值；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8、动态节律：干扰电动态节律为4s～10s，允差±10%；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9、差频变化周期：差频变化周期为15s～60s，允差±10%；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10、治疗时间：1-99分钟（1分钟步进）,允差±5%；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11、最大吸引压力：设备吸引压力调整范围为60-180mmHg，允差±10%或±10mmHg取较大值；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12、噪音：仪器工作时，噪音不大于60dBA;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13、电极板预热装置最高加热温度不大于45°C；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14、水瓶保温装置最高温度不大于60°C；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15、输入功率400VA，产品尺寸：484*516*1468mm;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16、11种治疗模式,4通道独立输出，可同时治疗4个患者；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主要特征：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A、吸附电极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   1.采用双层水汽分离设计的轻薄贴身吸附电极，便于贴身使用，有效防止使用过程中吸附电极海绵导电水分流失和温度的流失，全面保证治疗的舒适性。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   2.配备9种吸附电极供选择，小号电极用于关节等小部位治疗，大号电极碗用于腰背部等大部位治疗，多极复合电极作用于小部位便捷使用，一放即可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default" w:ascii="-apple-system" w:hAnsi="-apple-system" w:eastAsia="-apple-system" w:cs="-apple-system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B、吸附连接线设计</w:t>
      </w: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lang w:eastAsia="zh-CN"/>
        </w:rPr>
        <w:t>3.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</w:rPr>
        <w:t>每个通道输出线采用4合1线吸附电极连接线的轻薄设计，避免多次繁琐插拔有效提高使用寿命；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39FF"/>
    <w:rsid w:val="085C39FF"/>
    <w:rsid w:val="7BC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2025-09-23T07:49:00Z</dcterms:created>
  <dc:creator>Administrator</dc:creator>
  <cp:lastModifiedBy>Administrator</cp:lastModifiedBy>
  <dcterms:modified xsi:type="dcterms:W3CDTF">2025-09-23T07:50:51Z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