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B4BE2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SBC-2025-165无创低频胫神经刺激器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7870F0B2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用于治疗膀胱过度活动症（overactive bladder，OAB），并伴有尿急、尿频和急迫性尿失禁相关症状的患者，足底经皮胫神经刺激的设备。</w:t>
      </w:r>
    </w:p>
    <w:p w14:paraId="7613B04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输入功率平均功率值＜1W，瞬间功率值＜15W，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刺激电流为0至80mA，直流分量为0至0.12mA</w:t>
      </w:r>
    </w:p>
    <w:p w14:paraId="18DF0003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刺激水平设置范围：0%-100%（在0%至100%间，以1%的变化量连续可调，每1%的变化代表0.8mA），刺激频率为20Hz，脉冲宽度为200微秒，脉冲为单相，输出波形为方波</w:t>
      </w:r>
    </w:p>
    <w:p w14:paraId="5E1A0DFB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刺激负载为500Ω至1kΩ，最大输出脉冲幅度不少于80mA，刺激负载为1kΩ至2kΩ，最大输出脉冲幅度满足50mA～80mA。</w:t>
      </w:r>
    </w:p>
    <w:p w14:paraId="663D282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2188D"/>
    <w:multiLevelType w:val="singleLevel"/>
    <w:tmpl w:val="219218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84630D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43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2025-05-14T08:30:11Z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