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SBC-2025-331/339中心实验室设备第二批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30570C6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鼓风干燥箱</w:t>
      </w:r>
    </w:p>
    <w:p w14:paraId="62641B6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技术参数：</w:t>
      </w:r>
    </w:p>
    <w:p w14:paraId="62A9D97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1.定时范围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0～9999min</w:t>
      </w:r>
    </w:p>
    <w:p w14:paraId="0C9EAC8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2.控温范围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RT+10～200℃/RT+10～250℃</w:t>
      </w:r>
    </w:p>
    <w:p w14:paraId="33A2E8E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3.恒温波动度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±1.0℃</w:t>
      </w:r>
    </w:p>
    <w:p w14:paraId="1270BB6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4.温度分辨率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0.1℃</w:t>
      </w:r>
    </w:p>
    <w:p w14:paraId="70DF2C6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5.温度均匀度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±3%（测试点为100℃）</w:t>
      </w:r>
    </w:p>
    <w:p w14:paraId="1159C9D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6.工作环境温度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ab/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+5～40℃</w:t>
      </w:r>
    </w:p>
    <w:p w14:paraId="1A6F373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.容积≥200L</w:t>
      </w:r>
    </w:p>
    <w:p w14:paraId="27AF482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071D961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万分之一天平</w:t>
      </w:r>
    </w:p>
    <w:p w14:paraId="69C0F95A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技术参数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:</w:t>
      </w:r>
    </w:p>
    <w:p w14:paraId="5A1AA05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1.最大称量值：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≥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220g</w:t>
      </w:r>
    </w:p>
    <w:p w14:paraId="742661C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2.可读性：0.1mg</w:t>
      </w:r>
      <w:bookmarkStart w:id="0" w:name="_GoBack"/>
      <w:bookmarkEnd w:id="0"/>
    </w:p>
    <w:p w14:paraId="45245A4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3.典型值重复性：0.08mg，</w:t>
      </w:r>
    </w:p>
    <w:p w14:paraId="01FEFF4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4.典型值偏载误差：0.12mg（100g）</w:t>
      </w:r>
    </w:p>
    <w:p w14:paraId="00555337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5.典型值线性偏差: 0.06mg</w:t>
      </w:r>
    </w:p>
    <w:p w14:paraId="60E73B2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.典型值最小称量值（USP，允差 = 0.10%）：160mg</w:t>
      </w:r>
    </w:p>
    <w:p w14:paraId="587D53C1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7.稳定时间：≤2s</w:t>
      </w:r>
    </w:p>
    <w:p w14:paraId="1D0FF76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.灵敏度温度漂移：0.0002%/℃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92A503B"/>
    <w:rsid w:val="2D0267E7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36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2025-04-21T08:11:19Z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E529CB9FDE0842AE85B2A6D44826C24E_13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