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襄阳市中心医院万山分院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sz w:val="72"/>
          <w:szCs w:val="144"/>
          <w:u w:val="none"/>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采购方式：</w:t>
            </w:r>
          </w:p>
        </w:tc>
        <w:tc>
          <w:tcPr>
            <w:tcW w:w="5866" w:type="dxa"/>
          </w:tcPr>
          <w:p>
            <w:pPr>
              <w:jc w:val="left"/>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r>
              <w:rPr>
                <w:rFonts w:hint="eastAsia" w:ascii="微软雅黑" w:hAnsi="微软雅黑" w:eastAsia="微软雅黑" w:cs="微软雅黑"/>
                <w:b/>
                <w:bCs/>
                <w:color w:val="0070C0"/>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项目类型：</w:t>
            </w:r>
          </w:p>
        </w:tc>
        <w:tc>
          <w:tcPr>
            <w:tcW w:w="5866" w:type="dxa"/>
          </w:tcPr>
          <w:p>
            <w:pPr>
              <w:jc w:val="left"/>
              <w:rPr>
                <w:rFonts w:hint="eastAsia" w:ascii="微软雅黑" w:hAnsi="微软雅黑" w:eastAsia="微软雅黑" w:cs="微软雅黑"/>
                <w:b/>
                <w:bCs/>
                <w:color w:val="0070C0"/>
                <w:sz w:val="28"/>
                <w:szCs w:val="28"/>
                <w:vertAlign w:val="baseli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r>
              <w:rPr>
                <w:rFonts w:hint="eastAsia" w:ascii="微软雅黑" w:hAnsi="微软雅黑" w:eastAsia="微软雅黑" w:cs="微软雅黑"/>
                <w:b/>
                <w:bCs/>
                <w:color w:val="0070C0"/>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项目名称：</w:t>
            </w:r>
          </w:p>
        </w:tc>
        <w:tc>
          <w:tcPr>
            <w:tcW w:w="5866" w:type="dxa"/>
          </w:tcPr>
          <w:p>
            <w:pPr>
              <w:jc w:val="left"/>
              <w:rPr>
                <w:rFonts w:hint="eastAsia" w:ascii="微软雅黑" w:hAnsi="微软雅黑" w:eastAsia="微软雅黑" w:cs="微软雅黑"/>
                <w:b/>
                <w:bCs/>
                <w:sz w:val="28"/>
                <w:szCs w:val="28"/>
                <w:u w:val="none"/>
                <w:lang w:val="en-US" w:eastAsia="zh-CN"/>
              </w:rPr>
            </w:pPr>
            <w:r>
              <w:rPr>
                <w:rFonts w:hint="eastAsia" w:ascii="黑体" w:hAnsi="黑体" w:eastAsia="黑体" w:cs="黑体"/>
                <w:b/>
                <w:bCs/>
                <w:sz w:val="24"/>
                <w:szCs w:val="24"/>
                <w:lang w:val="en-US" w:eastAsia="zh-CN"/>
              </w:rPr>
              <w:t>襄城区人民医院放射机房建设预评、控评、环评服务及申领《放射诊疗许可证》、《辐射安全许可证》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eastAsia"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r>
              <w:rPr>
                <w:rFonts w:hint="eastAsia" w:ascii="微软雅黑" w:hAnsi="微软雅黑" w:eastAsia="微软雅黑" w:cs="微软雅黑"/>
                <w:b/>
                <w:bCs/>
                <w:sz w:val="32"/>
                <w:szCs w:val="40"/>
                <w:highlight w:val="none"/>
                <w:u w:val="none"/>
                <w:lang w:val="en-US" w:eastAsia="zh-CN"/>
              </w:rPr>
              <w:t>万山分院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70C0"/>
                <w:sz w:val="32"/>
                <w:szCs w:val="40"/>
                <w:highlight w:val="none"/>
                <w:u w:val="none"/>
                <w:lang w:val="en-US" w:eastAsia="zh-CN"/>
              </w:rPr>
            </w:pPr>
            <w:r>
              <w:rPr>
                <w:rFonts w:hint="eastAsia" w:ascii="微软雅黑" w:hAnsi="微软雅黑" w:eastAsia="微软雅黑" w:cs="微软雅黑"/>
                <w:b/>
                <w:bCs/>
                <w:color w:val="0070C0"/>
                <w:sz w:val="32"/>
                <w:szCs w:val="40"/>
                <w:highlight w:val="none"/>
                <w:u w:val="none"/>
                <w:lang w:val="en-US" w:eastAsia="zh-CN"/>
              </w:rPr>
              <w:t>采购日期：</w:t>
            </w:r>
          </w:p>
        </w:tc>
        <w:tc>
          <w:tcPr>
            <w:tcW w:w="5866" w:type="dxa"/>
          </w:tcPr>
          <w:p>
            <w:pPr>
              <w:ind w:firstLine="640" w:firstLineChars="200"/>
              <w:jc w:val="left"/>
              <w:rPr>
                <w:rFonts w:hint="default" w:ascii="微软雅黑" w:hAnsi="微软雅黑" w:eastAsia="微软雅黑" w:cs="微软雅黑"/>
                <w:b/>
                <w:bCs/>
                <w:color w:val="0070C0"/>
                <w:sz w:val="32"/>
                <w:szCs w:val="40"/>
                <w:highlight w:val="none"/>
                <w:u w:val="none"/>
                <w:lang w:val="en-US" w:eastAsia="zh-CN"/>
              </w:rPr>
            </w:pPr>
            <w:r>
              <w:rPr>
                <w:rFonts w:hint="default" w:ascii="微软雅黑" w:hAnsi="微软雅黑" w:eastAsia="微软雅黑" w:cs="微软雅黑"/>
                <w:b/>
                <w:bCs/>
                <w:color w:val="0070C0"/>
                <w:sz w:val="32"/>
                <w:szCs w:val="40"/>
                <w:highlight w:val="none"/>
                <w:u w:val="none"/>
                <w:lang w:val="en-US" w:eastAsia="zh-CN"/>
              </w:rPr>
              <w:t>202</w:t>
            </w:r>
            <w:r>
              <w:rPr>
                <w:rFonts w:hint="eastAsia" w:ascii="微软雅黑" w:hAnsi="微软雅黑" w:eastAsia="微软雅黑" w:cs="微软雅黑"/>
                <w:b/>
                <w:bCs/>
                <w:color w:val="0070C0"/>
                <w:sz w:val="32"/>
                <w:szCs w:val="40"/>
                <w:highlight w:val="none"/>
                <w:u w:val="none"/>
                <w:lang w:val="en-US" w:eastAsia="zh-CN"/>
              </w:rPr>
              <w:t>5年</w:t>
            </w:r>
            <w:r>
              <w:rPr>
                <w:rFonts w:hint="default" w:ascii="微软雅黑" w:hAnsi="微软雅黑" w:eastAsia="微软雅黑" w:cs="微软雅黑"/>
                <w:b/>
                <w:bCs/>
                <w:color w:val="0070C0"/>
                <w:sz w:val="32"/>
                <w:szCs w:val="40"/>
                <w:highlight w:val="none"/>
                <w:u w:val="none"/>
                <w:lang w:val="en-US" w:eastAsia="zh-CN"/>
              </w:rPr>
              <w:t>0</w:t>
            </w:r>
            <w:r>
              <w:rPr>
                <w:rFonts w:hint="eastAsia" w:ascii="微软雅黑" w:hAnsi="微软雅黑" w:eastAsia="微软雅黑" w:cs="微软雅黑"/>
                <w:b/>
                <w:bCs/>
                <w:color w:val="0070C0"/>
                <w:sz w:val="32"/>
                <w:szCs w:val="40"/>
                <w:highlight w:val="none"/>
                <w:u w:val="none"/>
                <w:lang w:val="en-US" w:eastAsia="zh-CN"/>
              </w:rPr>
              <w:t>3月</w:t>
            </w:r>
            <w:r>
              <w:rPr>
                <w:rFonts w:hint="default" w:ascii="微软雅黑" w:hAnsi="微软雅黑" w:eastAsia="微软雅黑" w:cs="微软雅黑"/>
                <w:b/>
                <w:bCs/>
                <w:color w:val="0070C0"/>
                <w:sz w:val="32"/>
                <w:szCs w:val="40"/>
                <w:highlight w:val="none"/>
                <w:u w:val="none"/>
                <w:lang w:val="en-US" w:eastAsia="zh-CN"/>
              </w:rPr>
              <w:t>27</w:t>
            </w:r>
            <w:r>
              <w:rPr>
                <w:rFonts w:hint="eastAsia" w:ascii="微软雅黑" w:hAnsi="微软雅黑" w:eastAsia="微软雅黑" w:cs="微软雅黑"/>
                <w:b/>
                <w:bCs/>
                <w:color w:val="0070C0"/>
                <w:sz w:val="32"/>
                <w:szCs w:val="40"/>
                <w:highlight w:val="none"/>
                <w:u w:val="none"/>
                <w:lang w:val="en-US" w:eastAsia="zh-CN"/>
              </w:rPr>
              <w:t>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2"/>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2"/>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项目编码：</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lang w:val="en-US" w:eastAsia="zh-CN"/>
        </w:rPr>
        <w:t>项目名称：</w:t>
      </w:r>
      <w:r>
        <w:rPr>
          <w:rFonts w:hint="eastAsia" w:ascii="微软雅黑" w:hAnsi="微软雅黑" w:eastAsia="微软雅黑" w:cs="微软雅黑"/>
          <w:sz w:val="21"/>
          <w:szCs w:val="21"/>
          <w:lang w:val="en-US" w:eastAsia="zh-CN"/>
        </w:rPr>
        <w:t xml:space="preserve">襄城区人民医院放射机房建设预评、控评、环评服务及申领《放射诊疗许可证》、《辐射安全许可证》                                                                                                                   </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120000     </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主要采购内容：</w:t>
      </w:r>
      <w:r>
        <w:rPr>
          <w:rFonts w:hint="eastAsia" w:ascii="微软雅黑" w:hAnsi="微软雅黑" w:eastAsia="微软雅黑" w:cs="微软雅黑"/>
          <w:color w:val="auto"/>
          <w:sz w:val="21"/>
          <w:szCs w:val="21"/>
          <w:lang w:val="en-US" w:eastAsia="zh-CN"/>
        </w:rPr>
        <w:t>襄城区人民医院2间DR机房和2间CT机房，2间手术间（</w:t>
      </w:r>
      <w:r>
        <w:rPr>
          <w:rFonts w:hint="default" w:ascii="微软雅黑" w:hAnsi="微软雅黑" w:eastAsia="微软雅黑" w:cs="微软雅黑"/>
          <w:color w:val="auto"/>
          <w:sz w:val="21"/>
          <w:szCs w:val="21"/>
          <w:lang w:val="en-US" w:eastAsia="zh-CN"/>
        </w:rPr>
        <w:t>C</w:t>
      </w:r>
      <w:r>
        <w:rPr>
          <w:rFonts w:hint="eastAsia" w:ascii="微软雅黑" w:hAnsi="微软雅黑" w:eastAsia="微软雅黑" w:cs="微软雅黑"/>
          <w:color w:val="auto"/>
          <w:sz w:val="21"/>
          <w:szCs w:val="21"/>
          <w:lang w:val="en-US" w:eastAsia="zh-CN"/>
        </w:rPr>
        <w:t>型臂专用），1间口腔科机房建设项目预评、控评、环评服务及申领《放射诊疗许可证》、《辐射安全许可证》</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numPr>
          <w:ilvl w:val="-1"/>
          <w:numId w:val="0"/>
        </w:numPr>
        <w:spacing w:line="400" w:lineRule="exact"/>
        <w:ind w:left="402" w:firstLine="0"/>
        <w:jc w:val="left"/>
        <w:rPr>
          <w:rFonts w:hint="eastAsia" w:ascii="微软雅黑" w:hAnsi="微软雅黑" w:eastAsia="微软雅黑" w:cs="微软雅黑"/>
          <w:color w:val="0070C0"/>
          <w:lang w:eastAsia="zh-CN"/>
        </w:rPr>
      </w:pPr>
      <w:r>
        <w:rPr>
          <w:rFonts w:hint="eastAsia" w:ascii="微软雅黑" w:hAnsi="微软雅黑" w:eastAsia="微软雅黑" w:cs="微软雅黑"/>
          <w:color w:val="0070C0"/>
          <w:lang w:eastAsia="zh-CN"/>
        </w:rPr>
        <w:t>本项目特定资格要求：</w:t>
      </w:r>
    </w:p>
    <w:p>
      <w:pPr>
        <w:numPr>
          <w:ilvl w:val="-1"/>
          <w:numId w:val="0"/>
        </w:numPr>
        <w:spacing w:line="400" w:lineRule="exact"/>
        <w:ind w:left="402" w:firstLine="0"/>
        <w:jc w:val="left"/>
        <w:rPr>
          <w:rFonts w:hint="eastAsia" w:ascii="微软雅黑" w:hAnsi="微软雅黑" w:eastAsia="微软雅黑" w:cs="微软雅黑"/>
          <w:color w:val="0070C0"/>
          <w:lang w:eastAsia="zh-CN"/>
        </w:rPr>
      </w:pPr>
      <w:bookmarkStart w:id="0" w:name="PO_reg_business_require12"/>
      <w:r>
        <w:rPr>
          <w:rFonts w:hint="eastAsia" w:ascii="微软雅黑" w:hAnsi="微软雅黑" w:eastAsia="微软雅黑" w:cs="微软雅黑"/>
          <w:color w:val="0070C0"/>
          <w:lang w:eastAsia="zh-CN"/>
        </w:rPr>
        <w:t>(1) 供应商须具有合格有效的《放射卫生技术服务机构资质证书》，且技术服务范围包含本项目服务内容；</w:t>
      </w:r>
    </w:p>
    <w:bookmarkEnd w:id="0"/>
    <w:p>
      <w:pPr>
        <w:numPr>
          <w:ilvl w:val="-1"/>
          <w:numId w:val="0"/>
        </w:numPr>
        <w:spacing w:line="400" w:lineRule="exact"/>
        <w:ind w:left="402" w:firstLine="0"/>
        <w:jc w:val="left"/>
        <w:rPr>
          <w:rFonts w:hint="eastAsia" w:ascii="微软雅黑" w:hAnsi="微软雅黑" w:eastAsia="微软雅黑" w:cs="微软雅黑"/>
          <w:color w:val="0070C0"/>
          <w:lang w:eastAsia="zh-CN"/>
        </w:rPr>
      </w:pPr>
      <w:bookmarkStart w:id="1" w:name="PO_reg_business_require13"/>
      <w:r>
        <w:rPr>
          <w:rFonts w:hint="eastAsia" w:ascii="微软雅黑" w:hAnsi="微软雅黑" w:eastAsia="微软雅黑" w:cs="微软雅黑"/>
          <w:color w:val="0070C0"/>
          <w:lang w:eastAsia="zh-CN"/>
        </w:rPr>
        <w:t>(2) 供应商须具有有效的《检验检测机构资质认定证书》（CMA认证证书），且技术服务范围包含本项目服务内容；。</w:t>
      </w:r>
    </w:p>
    <w:bookmarkEnd w:id="1"/>
    <w:p>
      <w:pPr>
        <w:pStyle w:val="8"/>
        <w:rPr>
          <w:rFonts w:hint="eastAsia"/>
          <w:lang w:val="en-US" w:eastAsia="zh-CN"/>
        </w:rPr>
      </w:pP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报名时间：2025年03月</w:t>
      </w:r>
      <w:r>
        <w:rPr>
          <w:rFonts w:hint="default" w:ascii="微软雅黑" w:hAnsi="微软雅黑" w:eastAsia="微软雅黑" w:cs="微软雅黑"/>
          <w:b w:val="0"/>
          <w:bCs w:val="0"/>
          <w:color w:val="auto"/>
          <w:highlight w:val="none"/>
          <w:lang w:val="en-US" w:eastAsia="zh-CN"/>
        </w:rPr>
        <w:t>27</w:t>
      </w:r>
      <w:r>
        <w:rPr>
          <w:rFonts w:hint="eastAsia" w:ascii="微软雅黑" w:hAnsi="微软雅黑" w:eastAsia="微软雅黑" w:cs="微软雅黑"/>
          <w:b w:val="0"/>
          <w:bCs w:val="0"/>
          <w:color w:val="auto"/>
          <w:highlight w:val="none"/>
          <w:lang w:val="en-US" w:eastAsia="zh-CN"/>
        </w:rPr>
        <w:t>日0时0分起至2025年0</w:t>
      </w:r>
      <w:r>
        <w:rPr>
          <w:rFonts w:hint="default" w:ascii="微软雅黑" w:hAnsi="微软雅黑" w:eastAsia="微软雅黑" w:cs="微软雅黑"/>
          <w:b w:val="0"/>
          <w:bCs w:val="0"/>
          <w:color w:val="auto"/>
          <w:highlight w:val="none"/>
          <w:lang w:val="en-US" w:eastAsia="zh-CN"/>
        </w:rPr>
        <w:t>4</w:t>
      </w:r>
      <w:r>
        <w:rPr>
          <w:rFonts w:hint="eastAsia" w:ascii="微软雅黑" w:hAnsi="微软雅黑" w:eastAsia="微软雅黑" w:cs="微软雅黑"/>
          <w:b w:val="0"/>
          <w:bCs w:val="0"/>
          <w:color w:val="auto"/>
          <w:highlight w:val="none"/>
          <w:lang w:val="en-US" w:eastAsia="zh-CN"/>
        </w:rPr>
        <w:t>月</w:t>
      </w:r>
      <w:r>
        <w:rPr>
          <w:rFonts w:hint="default" w:ascii="微软雅黑" w:hAnsi="微软雅黑" w:eastAsia="微软雅黑" w:cs="微软雅黑"/>
          <w:b w:val="0"/>
          <w:bCs w:val="0"/>
          <w:color w:val="auto"/>
          <w:highlight w:val="none"/>
          <w:lang w:val="en-US" w:eastAsia="zh-CN"/>
        </w:rPr>
        <w:t>02</w:t>
      </w:r>
      <w:bookmarkStart w:id="31" w:name="_GoBack"/>
      <w:bookmarkEnd w:id="31"/>
      <w:r>
        <w:rPr>
          <w:rFonts w:hint="eastAsia" w:ascii="微软雅黑" w:hAnsi="微软雅黑" w:eastAsia="微软雅黑" w:cs="微软雅黑"/>
          <w:b w:val="0"/>
          <w:bCs w:val="0"/>
          <w:color w:val="auto"/>
          <w:highlight w:val="none"/>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电话报名。请供应商拨打医务办电话（0710-3576759），报名时间以拨打医务办电话时间为准。如有疑问，可电话咨询医务办工作人员，工作人员对其进行指导。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①供应商下载并填写附件“供应商报名资料模板”，资料加盖公章，并上传彩色扫描件，报名文件为PDF格式，文件名以项目名称+单位全称形式命名投标人；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开标及递交文件截止时间：开标当日上午9:00或下午15:00，具体以采购人电话通知时间为准（0710-3576759）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开标地点：襄阳市中心医院万山分院行政办公区一楼会议室（暂定，如有更改，采购人会以电话0710-3576759通知）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医务办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地址：襄阳市中心医院万山分院行政办公区一楼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联系电话：0710-3576759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联系人：王薇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联系电话：0710-3576759</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2"/>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襄阳市中心医院万山分院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需要提交；</w:t>
            </w: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highlight w:val="none"/>
                <w:lang w:val="en-US" w:eastAsia="zh-CN"/>
              </w:rPr>
            </w:pPr>
            <w:r>
              <w:rPr>
                <w:rFonts w:hint="eastAsia" w:ascii="微软雅黑" w:hAnsi="微软雅黑" w:eastAsia="微软雅黑" w:cs="微软雅黑"/>
                <w:color w:val="auto"/>
                <w:sz w:val="21"/>
                <w:szCs w:val="21"/>
                <w:highlight w:val="none"/>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综合评价；</w:t>
            </w: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本采购文件解释权归襄阳市中心医院万山分院所有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若供应商认为采购过程和中标结果使自己的合法权益受到损害，可在项目结果公示期内以书面形式向采购人提出质疑并要求答复，但答复的内容不得涉及商业秘密。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医务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是；</w:t>
            </w: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color w:val="auto"/>
          <w:sz w:val="21"/>
          <w:szCs w:val="21"/>
          <w:highlight w:val="none"/>
          <w:lang w:val="en-US" w:eastAsia="zh-CN"/>
        </w:rPr>
        <w:br w:type="page"/>
      </w:r>
    </w:p>
    <w:p>
      <w:pPr>
        <w:pStyle w:val="2"/>
        <w:numPr>
          <w:ilvl w:val="0"/>
          <w:numId w:val="1"/>
        </w:numPr>
        <w:bidi w:val="0"/>
        <w:ind w:left="0" w:leftChars="0" w:firstLine="402" w:firstLineChars="0"/>
        <w:jc w:val="center"/>
        <w:rPr>
          <w:rFonts w:hint="default" w:ascii="微软雅黑" w:hAnsi="微软雅黑" w:eastAsia="微软雅黑" w:cs="微软雅黑"/>
          <w:b/>
          <w:color w:val="0070C0"/>
          <w:sz w:val="32"/>
          <w:szCs w:val="24"/>
          <w:lang w:val="en-US" w:eastAsia="zh-CN"/>
        </w:rPr>
      </w:pPr>
      <w:r>
        <w:rPr>
          <w:rFonts w:hint="eastAsia" w:ascii="微软雅黑" w:hAnsi="微软雅黑" w:eastAsia="微软雅黑" w:cs="微软雅黑"/>
          <w:b/>
          <w:color w:val="0070C0"/>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0070C0"/>
          <w:sz w:val="28"/>
          <w:szCs w:val="28"/>
          <w:lang w:val="en-US" w:eastAsia="zh-CN"/>
        </w:rPr>
      </w:pPr>
      <w:r>
        <w:rPr>
          <w:rFonts w:hint="eastAsia" w:ascii="微软雅黑" w:hAnsi="微软雅黑" w:eastAsia="微软雅黑" w:cs="微软雅黑"/>
          <w:b/>
          <w:bCs/>
          <w:color w:val="0070C0"/>
          <w:sz w:val="21"/>
          <w:szCs w:val="21"/>
          <w:lang w:val="en-US" w:eastAsia="zh-CN"/>
        </w:rPr>
        <w:t>工程内容、货物清单、服务内容（自行填写，表格可自行调整）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597"/>
        <w:gridCol w:w="810"/>
        <w:gridCol w:w="154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359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81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数量</w:t>
            </w:r>
          </w:p>
        </w:tc>
        <w:tc>
          <w:tcPr>
            <w:tcW w:w="154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单价</w:t>
            </w:r>
          </w:p>
        </w:tc>
        <w:tc>
          <w:tcPr>
            <w:tcW w:w="1821"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3597"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宋体" w:hAnsi="宋体" w:eastAsia="宋体" w:cs="宋体"/>
                <w:sz w:val="21"/>
                <w:szCs w:val="21"/>
                <w:lang w:val="en-US" w:eastAsia="zh-CN"/>
              </w:rPr>
              <w:t>襄城区人民医院放射机房建设预评、控评、环评服务及申领《放射诊疗许可证》、《辐射安全许可证》</w:t>
            </w:r>
          </w:p>
        </w:tc>
        <w:tc>
          <w:tcPr>
            <w:tcW w:w="810"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7</w:t>
            </w:r>
          </w:p>
        </w:tc>
        <w:tc>
          <w:tcPr>
            <w:tcW w:w="154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821"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p>
        </w:tc>
        <w:tc>
          <w:tcPr>
            <w:tcW w:w="3597"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810" w:type="dxa"/>
          </w:tcPr>
          <w:p>
            <w:pPr>
              <w:numPr>
                <w:ilvl w:val="0"/>
                <w:numId w:val="0"/>
              </w:numPr>
              <w:tabs>
                <w:tab w:val="left" w:pos="0"/>
              </w:tabs>
              <w:jc w:val="left"/>
              <w:rPr>
                <w:rFonts w:hint="eastAsia" w:ascii="微软雅黑" w:hAnsi="微软雅黑" w:eastAsia="微软雅黑" w:cs="微软雅黑"/>
                <w:sz w:val="21"/>
                <w:szCs w:val="21"/>
                <w:lang w:val="en-US" w:eastAsia="zh-CN"/>
              </w:rPr>
            </w:pPr>
          </w:p>
        </w:tc>
        <w:tc>
          <w:tcPr>
            <w:tcW w:w="1545" w:type="dxa"/>
          </w:tcPr>
          <w:p>
            <w:pPr>
              <w:numPr>
                <w:ilvl w:val="0"/>
                <w:numId w:val="0"/>
              </w:numPr>
              <w:tabs>
                <w:tab w:val="left" w:pos="0"/>
              </w:tabs>
              <w:jc w:val="left"/>
              <w:rPr>
                <w:rFonts w:hint="eastAsia" w:ascii="微软雅黑" w:hAnsi="微软雅黑" w:eastAsia="微软雅黑" w:cs="微软雅黑"/>
                <w:sz w:val="21"/>
                <w:szCs w:val="21"/>
                <w:lang w:val="en-US" w:eastAsia="zh-CN"/>
              </w:rPr>
            </w:pPr>
          </w:p>
        </w:tc>
        <w:tc>
          <w:tcPr>
            <w:tcW w:w="182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p>
        </w:tc>
        <w:tc>
          <w:tcPr>
            <w:tcW w:w="3597" w:type="dxa"/>
          </w:tcPr>
          <w:p>
            <w:pPr>
              <w:numPr>
                <w:ilvl w:val="0"/>
                <w:numId w:val="0"/>
              </w:numPr>
              <w:tabs>
                <w:tab w:val="left" w:pos="0"/>
              </w:tabs>
              <w:jc w:val="left"/>
              <w:rPr>
                <w:rFonts w:hint="eastAsia" w:ascii="微软雅黑" w:hAnsi="微软雅黑" w:eastAsia="微软雅黑" w:cs="微软雅黑"/>
                <w:color w:val="auto"/>
                <w:sz w:val="21"/>
                <w:szCs w:val="21"/>
                <w:lang w:val="en-US" w:eastAsia="zh-CN"/>
              </w:rPr>
            </w:pPr>
          </w:p>
        </w:tc>
        <w:tc>
          <w:tcPr>
            <w:tcW w:w="810"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54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821"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8"/>
        <w:keepNext w:val="0"/>
        <w:keepLines w:val="0"/>
        <w:pageBreakBefore w:val="0"/>
        <w:kinsoku/>
        <w:wordWrap/>
        <w:overflowPunct/>
        <w:topLinePunct w:val="0"/>
        <w:bidi w:val="0"/>
        <w:spacing w:line="400" w:lineRule="exact"/>
        <w:ind w:left="0" w:leftChars="0" w:firstLine="0" w:firstLineChars="0"/>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一．</w:t>
      </w:r>
      <w:r>
        <w:rPr>
          <w:rFonts w:hint="eastAsia" w:ascii="微软雅黑" w:hAnsi="微软雅黑" w:eastAsia="微软雅黑" w:cs="微软雅黑"/>
          <w:sz w:val="21"/>
          <w:szCs w:val="21"/>
          <w:lang w:val="en-US" w:eastAsia="zh-CN"/>
        </w:rPr>
        <w:t>机房建设预评、控评、环评服务</w:t>
      </w:r>
    </w:p>
    <w:p>
      <w:pPr>
        <w:keepNext w:val="0"/>
        <w:keepLines w:val="0"/>
        <w:pageBreakBefore w:val="0"/>
        <w:kinsoku/>
        <w:wordWrap/>
        <w:overflowPunct/>
        <w:topLinePunct w:val="0"/>
        <w:bidi w:val="0"/>
        <w:spacing w:line="400" w:lineRule="exact"/>
        <w:ind w:firstLine="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1．预评价及控制效果评价：</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（1）收集相关资料，根据相关法律法规和标准对职业病危害因素、拟采取的防护措施等进行评价，编制报告表并分析得出是否可行的结论并提出对策与建议。</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（2）协助院方组织专家进行技术评审，根据技术评审专家意见完成本项目职业病危害预评价报告报批版，并协助院方取得主管部门的批复。</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（3）建设完成，现场调查，做设备性能检测及机房防护检测，依据预评价的要求编制控制效果评价报告，给出是否可行的结论并提出对策与建议。</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（4）协助院方组织专家进行技术评审，根据技术评审专家意见完成本项目控制效果评价报告报批版，并协助院方取得主管部门的批复。</w:t>
      </w:r>
    </w:p>
    <w:p>
      <w:pPr>
        <w:keepNext w:val="0"/>
        <w:keepLines w:val="0"/>
        <w:pageBreakBefore w:val="0"/>
        <w:kinsoku/>
        <w:wordWrap/>
        <w:overflowPunct/>
        <w:topLinePunct w:val="0"/>
        <w:bidi w:val="0"/>
        <w:spacing w:line="400" w:lineRule="exact"/>
        <w:ind w:firstLine="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2．环评及验收阶段：</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（1）完成环评信息网上登记上传，项目验收检测并编制辐射防护的监测报告；</w:t>
      </w:r>
    </w:p>
    <w:p>
      <w:pPr>
        <w:keepNext w:val="0"/>
        <w:keepLines w:val="0"/>
        <w:pageBreakBefore w:val="0"/>
        <w:kinsoku/>
        <w:wordWrap/>
        <w:overflowPunct/>
        <w:topLinePunct w:val="0"/>
        <w:bidi w:val="0"/>
        <w:spacing w:line="400" w:lineRule="exact"/>
        <w:ind w:firstLine="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000000"/>
          <w:sz w:val="21"/>
          <w:szCs w:val="21"/>
        </w:rPr>
        <w:t>3．配合完成辐射安全许可证重</w:t>
      </w:r>
      <w:r>
        <w:rPr>
          <w:rFonts w:hint="eastAsia" w:ascii="微软雅黑" w:hAnsi="微软雅黑" w:eastAsia="微软雅黑" w:cs="微软雅黑"/>
          <w:color w:val="000000"/>
          <w:sz w:val="21"/>
          <w:szCs w:val="21"/>
          <w:lang w:eastAsia="zh-CN"/>
        </w:rPr>
        <w:t>新申</w:t>
      </w:r>
      <w:r>
        <w:rPr>
          <w:rFonts w:hint="eastAsia" w:ascii="微软雅黑" w:hAnsi="微软雅黑" w:eastAsia="微软雅黑" w:cs="微软雅黑"/>
          <w:color w:val="auto"/>
          <w:sz w:val="21"/>
          <w:szCs w:val="21"/>
          <w:lang w:eastAsia="zh-CN"/>
        </w:rPr>
        <w:t>领、放射诊疗许可证变更</w:t>
      </w:r>
      <w:r>
        <w:rPr>
          <w:rFonts w:hint="eastAsia" w:ascii="微软雅黑" w:hAnsi="微软雅黑" w:eastAsia="微软雅黑" w:cs="微软雅黑"/>
          <w:color w:val="auto"/>
          <w:sz w:val="21"/>
          <w:szCs w:val="21"/>
        </w:rPr>
        <w:t>：</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（1）编制完成环境影响相关报告后，协助院方重新申领辐射安全许可证。</w:t>
      </w:r>
    </w:p>
    <w:p>
      <w:pPr>
        <w:keepNext w:val="0"/>
        <w:keepLines w:val="0"/>
        <w:pageBreakBefore w:val="0"/>
        <w:kinsoku/>
        <w:wordWrap/>
        <w:overflowPunct/>
        <w:topLinePunct w:val="0"/>
        <w:bidi w:val="0"/>
        <w:spacing w:line="400" w:lineRule="exact"/>
        <w:ind w:firstLine="210" w:firstLineChars="100"/>
        <w:jc w:val="both"/>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2）协助院方变更放射诊疗许可证（变更原二台DR安装地址；新增二台CT设备，2间手术间（C型臂专用），1间口腔科机房、变更医疗机构名称及地址、变更放射诊疗许可证法人）。</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合同履约期限：（如供货期、工期、服务期等）</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质保期：</w:t>
      </w:r>
      <w: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t>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服务要求：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1.项目承诺书、报价单等书面承诺必须有公司受托人签字。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default"/>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2.各供应商代表报价以人民币报价为准，合同价格以院内谈判最终价格为准。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default"/>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项目付款方式为：设备安装验收合格付95%，质保期到后付余款5%。</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合同条款：（如付款要求等）</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w:t>
      </w:r>
    </w:p>
    <w:p>
      <w:pPr>
        <w:pStyle w:val="8"/>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各供应商代表报价以人民币报价为准，合同价格以院内谈判最终价格为准。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1.附设备的标配、选配项目价格表及有效期（设备正常工作必需的配置须包含在标配中）（格式详见附件）。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3.彩页等等。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4.项目承诺书、报价单等书面承诺必须有公司受托人签字。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5.各供应商代表报价以人民币报价为准，合同价格以院内谈判最终价格为准。</w:t>
      </w:r>
    </w:p>
    <w:p>
      <w:pPr>
        <w:rPr>
          <w:rFonts w:hint="default"/>
          <w:color w:val="auto"/>
          <w:lang w:val="en-US"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70C0"/>
          <w:sz w:val="21"/>
          <w:szCs w:val="21"/>
          <w:vertAlign w:val="baseline"/>
          <w:lang w:val="en-US" w:eastAsia="zh-CN"/>
        </w:rPr>
      </w:pPr>
      <w:r>
        <w:rPr>
          <w:rFonts w:hint="default" w:ascii="微软雅黑" w:hAnsi="微软雅黑" w:eastAsia="微软雅黑" w:cs="微软雅黑"/>
          <w:b w:val="0"/>
          <w:bCs w:val="0"/>
          <w:color w:val="0070C0"/>
          <w:sz w:val="21"/>
          <w:szCs w:val="21"/>
          <w:vertAlign w:val="baseline"/>
          <w:lang w:val="en-US" w:eastAsia="zh-CN"/>
        </w:rPr>
        <w:t>（承办科室根据项目</w:t>
      </w:r>
      <w:r>
        <w:rPr>
          <w:rFonts w:hint="eastAsia" w:ascii="微软雅黑" w:hAnsi="微软雅黑" w:eastAsia="微软雅黑" w:cs="微软雅黑"/>
          <w:b w:val="0"/>
          <w:bCs w:val="0"/>
          <w:color w:val="0070C0"/>
          <w:sz w:val="21"/>
          <w:szCs w:val="21"/>
          <w:vertAlign w:val="baseline"/>
          <w:lang w:val="en-US" w:eastAsia="zh-CN"/>
        </w:rPr>
        <w:t>需求</w:t>
      </w:r>
      <w:r>
        <w:rPr>
          <w:rFonts w:hint="default" w:ascii="微软雅黑" w:hAnsi="微软雅黑" w:eastAsia="微软雅黑" w:cs="微软雅黑"/>
          <w:b w:val="0"/>
          <w:bCs w:val="0"/>
          <w:color w:val="0070C0"/>
          <w:sz w:val="21"/>
          <w:szCs w:val="21"/>
          <w:vertAlign w:val="baseline"/>
          <w:lang w:val="en-US" w:eastAsia="zh-CN"/>
        </w:rPr>
        <w:t>补充）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70C0"/>
          <w:sz w:val="21"/>
          <w:szCs w:val="21"/>
          <w:vertAlign w:val="baseline"/>
          <w:lang w:val="en-US" w:eastAsia="zh-CN"/>
        </w:rPr>
      </w:pPr>
      <w:r>
        <w:rPr>
          <w:rFonts w:hint="eastAsia" w:ascii="微软雅黑" w:hAnsi="微软雅黑" w:eastAsia="微软雅黑" w:cs="微软雅黑"/>
          <w:b w:val="0"/>
          <w:bCs w:val="0"/>
          <w:color w:val="0070C0"/>
          <w:sz w:val="21"/>
          <w:szCs w:val="21"/>
          <w:vertAlign w:val="baseline"/>
          <w:lang w:val="en-US" w:eastAsia="zh-CN"/>
        </w:rPr>
        <w:t>其他</w:t>
      </w:r>
    </w:p>
    <w:p>
      <w:pPr>
        <w:pStyle w:val="9"/>
        <w:rPr>
          <w:rFonts w:hint="default" w:ascii="微软雅黑" w:hAnsi="微软雅黑" w:eastAsia="微软雅黑" w:cs="微软雅黑"/>
          <w:b w:val="0"/>
          <w:bCs w:val="0"/>
          <w:color w:val="0070C0"/>
          <w:sz w:val="21"/>
          <w:szCs w:val="21"/>
          <w:vertAlign w:val="baseline"/>
          <w:lang w:val="en-US" w:eastAsia="zh-CN"/>
        </w:rPr>
      </w:pP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2"/>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2" w:name="_Toc29038"/>
      <w:r>
        <w:rPr>
          <w:rFonts w:hint="eastAsia" w:ascii="微软雅黑" w:hAnsi="微软雅黑" w:eastAsia="微软雅黑" w:cs="微软雅黑"/>
          <w:b/>
          <w:bCs/>
          <w:lang w:val="en-US" w:eastAsia="zh-CN"/>
        </w:rPr>
        <w:t>初步评审</w:t>
      </w:r>
      <w:bookmarkEnd w:id="2"/>
    </w:p>
    <w:tbl>
      <w:tblPr>
        <w:tblStyle w:val="5"/>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70C0"/>
          <w:lang w:val="en-US" w:eastAsia="zh-CN"/>
        </w:rPr>
      </w:pPr>
      <w:r>
        <w:rPr>
          <w:rFonts w:hint="eastAsia" w:ascii="微软雅黑" w:hAnsi="微软雅黑" w:eastAsia="微软雅黑" w:cs="微软雅黑"/>
          <w:b/>
          <w:bCs/>
          <w:color w:val="0070C0"/>
          <w:lang w:val="en-US" w:eastAsia="zh-CN"/>
        </w:rPr>
        <w:t>详细评分办法（详细评分表）</w:t>
      </w:r>
    </w:p>
    <w:tbl>
      <w:tblPr>
        <w:tblStyle w:val="5"/>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16"/>
        <w:gridCol w:w="1341"/>
        <w:gridCol w:w="1155"/>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内容</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项目</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评审因素</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szCs w:val="21"/>
              </w:rPr>
            </w:pPr>
            <w:r>
              <w:rPr>
                <w:rFonts w:hint="eastAsia" w:ascii="宋体" w:hAnsi="宋体" w:cs="宋体"/>
                <w:b/>
                <w:bCs/>
                <w:szCs w:val="21"/>
              </w:rPr>
              <w:t>分值</w:t>
            </w:r>
          </w:p>
        </w:tc>
        <w:tc>
          <w:tcPr>
            <w:tcW w:w="49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6" w:type="dxa"/>
            <w:vMerge w:val="restart"/>
            <w:tcBorders>
              <w:left w:val="single" w:color="auto" w:sz="4" w:space="0"/>
              <w:right w:val="single" w:color="auto" w:sz="4" w:space="0"/>
            </w:tcBorders>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评分办法</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商务</w:t>
            </w:r>
            <w:r>
              <w:rPr>
                <w:rFonts w:hint="eastAsia" w:ascii="宋体" w:hAnsi="宋体" w:cs="宋体"/>
                <w:sz w:val="18"/>
                <w:szCs w:val="18"/>
              </w:rPr>
              <w:t>评</w:t>
            </w:r>
            <w:r>
              <w:rPr>
                <w:rFonts w:hint="eastAsia" w:ascii="宋体" w:hAnsi="宋体" w:cs="宋体"/>
                <w:sz w:val="18"/>
                <w:szCs w:val="18"/>
                <w:lang w:val="en-US" w:eastAsia="zh-CN"/>
              </w:rPr>
              <w:t>审</w:t>
            </w:r>
          </w:p>
          <w:p>
            <w:pPr>
              <w:spacing w:line="380" w:lineRule="exact"/>
              <w:jc w:val="center"/>
              <w:rPr>
                <w:rFonts w:hint="eastAsia" w:ascii="宋体" w:hAnsi="宋体" w:cs="宋体" w:eastAsiaTheme="minorEastAsia"/>
                <w:sz w:val="18"/>
                <w:szCs w:val="18"/>
                <w:lang w:eastAsia="zh-CN"/>
              </w:rPr>
            </w:pPr>
            <w:r>
              <w:rPr>
                <w:rFonts w:hint="eastAsia" w:ascii="宋体" w:hAnsi="宋体" w:cs="宋体"/>
                <w:sz w:val="18"/>
                <w:szCs w:val="18"/>
              </w:rPr>
              <w:t xml:space="preserve">    </w:t>
            </w:r>
          </w:p>
        </w:tc>
        <w:tc>
          <w:tcPr>
            <w:tcW w:w="7442" w:type="dxa"/>
            <w:gridSpan w:val="3"/>
            <w:tcBorders>
              <w:top w:val="single" w:color="auto" w:sz="4" w:space="0"/>
              <w:left w:val="single" w:color="auto" w:sz="4" w:space="0"/>
              <w:right w:val="single" w:color="auto" w:sz="4" w:space="0"/>
            </w:tcBorders>
            <w:vAlign w:val="center"/>
          </w:tcPr>
          <w:tbl>
            <w:tblPr>
              <w:tblStyle w:val="6"/>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42"/>
              <w:gridCol w:w="5284"/>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71" w:type="dxa"/>
                  <w:vAlign w:val="center"/>
                </w:tcPr>
                <w:p>
                  <w:pPr>
                    <w:jc w:val="center"/>
                    <w:rPr>
                      <w:rFonts w:hint="default" w:ascii="宋体" w:hAnsi="宋体" w:cs="仿宋" w:eastAsiaTheme="minorEastAsia"/>
                      <w:color w:val="000000" w:themeColor="text1"/>
                      <w:sz w:val="18"/>
                      <w:szCs w:val="18"/>
                      <w:u w:val="none"/>
                      <w:lang w:val="en-US" w:eastAsia="zh-CN"/>
                      <w14:textFill>
                        <w14:solidFill>
                          <w14:schemeClr w14:val="tx1"/>
                        </w14:solidFill>
                      </w14:textFill>
                    </w:rPr>
                  </w:pPr>
                  <w:bookmarkStart w:id="3" w:name="PO_businessTable"/>
                  <w:r>
                    <w:rPr>
                      <w:rFonts w:hint="eastAsia" w:ascii="宋体" w:hAnsi="宋体" w:cs="仿宋"/>
                      <w:color w:val="auto"/>
                      <w:sz w:val="18"/>
                      <w:szCs w:val="18"/>
                      <w:u w:val="none"/>
                      <w:lang w:val="en-US" w:eastAsia="zh-CN"/>
                    </w:rPr>
                    <w:t>综合实力</w:t>
                  </w:r>
                </w:p>
              </w:tc>
              <w:tc>
                <w:tcPr>
                  <w:tcW w:w="1142" w:type="dxa"/>
                  <w:vAlign w:val="center"/>
                </w:tcPr>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15分</w:t>
                  </w:r>
                </w:p>
              </w:tc>
              <w:tc>
                <w:tcPr>
                  <w:tcW w:w="5284" w:type="dxa"/>
                  <w:vAlign w:val="center"/>
                </w:tcPr>
                <w:p>
                  <w:pPr>
                    <w:jc w:val="both"/>
                    <w:rPr>
                      <w:rFonts w:hint="default" w:ascii="宋体" w:hAnsi="宋体" w:cs="仿宋" w:eastAsiaTheme="minorEastAsia"/>
                      <w:color w:val="000000" w:themeColor="text1"/>
                      <w:sz w:val="18"/>
                      <w:szCs w:val="18"/>
                      <w:u w:val="none"/>
                      <w:lang w:val="en-US"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投标单位具有预评、环评、控评及卫评资质。</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业绩</w:t>
                  </w:r>
                </w:p>
              </w:tc>
              <w:tc>
                <w:tcPr>
                  <w:tcW w:w="1142" w:type="dxa"/>
                  <w:vAlign w:val="center"/>
                </w:tcPr>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10分</w:t>
                  </w:r>
                </w:p>
              </w:tc>
              <w:tc>
                <w:tcPr>
                  <w:tcW w:w="5284" w:type="dxa"/>
                  <w:vAlign w:val="center"/>
                </w:tcPr>
                <w:p>
                  <w:pPr>
                    <w:jc w:val="both"/>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投标人（代理商或制造商）提供近三年（招标截止时间前36个月，以合同签订时间为准）的相同项目业绩。每提供1个得2分，最高得10分。（需提供合同复印件加盖投标单位公章）</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371" w:type="dxa"/>
                  <w:vAlign w:val="center"/>
                </w:tcPr>
                <w:p>
                  <w:pPr>
                    <w:jc w:val="center"/>
                    <w:rPr>
                      <w:rFonts w:hint="eastAsia" w:ascii="宋体" w:hAnsi="宋体" w:cs="仿宋"/>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帮办时间</w:t>
                  </w:r>
                </w:p>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p>
              </w:tc>
              <w:tc>
                <w:tcPr>
                  <w:tcW w:w="1142" w:type="dxa"/>
                  <w:vAlign w:val="center"/>
                </w:tcPr>
                <w:p>
                  <w:pPr>
                    <w:jc w:val="center"/>
                    <w:rPr>
                      <w:rFonts w:hint="default" w:ascii="宋体" w:hAnsi="宋体" w:cs="仿宋"/>
                      <w:color w:val="000000" w:themeColor="text1"/>
                      <w:sz w:val="18"/>
                      <w:szCs w:val="18"/>
                      <w:u w:val="none"/>
                      <w:lang w:val="en-US" w:eastAsia="zh-CN"/>
                      <w14:textFill>
                        <w14:solidFill>
                          <w14:schemeClr w14:val="tx1"/>
                        </w14:solidFill>
                      </w14:textFill>
                    </w:rPr>
                  </w:pPr>
                  <w:r>
                    <w:rPr>
                      <w:rFonts w:hint="eastAsia" w:ascii="宋体" w:hAnsi="宋体" w:cs="仿宋"/>
                      <w:color w:val="000000" w:themeColor="text1"/>
                      <w:sz w:val="18"/>
                      <w:szCs w:val="18"/>
                      <w:u w:val="none"/>
                      <w:lang w:val="en-US" w:eastAsia="zh-CN"/>
                      <w14:textFill>
                        <w14:solidFill>
                          <w14:schemeClr w14:val="tx1"/>
                        </w14:solidFill>
                      </w14:textFill>
                    </w:rPr>
                    <w:t>15</w:t>
                  </w:r>
                  <w:r>
                    <w:rPr>
                      <w:rFonts w:hint="eastAsia" w:ascii="宋体" w:hAnsi="宋体" w:cs="仿宋"/>
                      <w:color w:val="000000" w:themeColor="text1"/>
                      <w:sz w:val="18"/>
                      <w:szCs w:val="18"/>
                      <w:u w:val="none"/>
                      <w:lang w:eastAsia="zh-CN"/>
                      <w14:textFill>
                        <w14:solidFill>
                          <w14:schemeClr w14:val="tx1"/>
                        </w14:solidFill>
                      </w14:textFill>
                    </w:rPr>
                    <w:t>分</w:t>
                  </w:r>
                </w:p>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p>
              </w:tc>
              <w:tc>
                <w:tcPr>
                  <w:tcW w:w="5284" w:type="dxa"/>
                  <w:vAlign w:val="center"/>
                </w:tcPr>
                <w:p>
                  <w:pPr>
                    <w:jc w:val="both"/>
                    <w:rPr>
                      <w:rFonts w:hint="eastAsia" w:ascii="宋体" w:hAnsi="宋体" w:cs="仿宋"/>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最短帮办时间为基准，按等比例折算。</w:t>
                  </w:r>
                </w:p>
                <w:p>
                  <w:pPr>
                    <w:pStyle w:val="3"/>
                    <w:jc w:val="both"/>
                    <w:rPr>
                      <w:rFonts w:hint="eastAsia" w:ascii="宋体" w:hAnsi="宋体" w:cs="仿宋"/>
                      <w:color w:val="000000" w:themeColor="text1"/>
                      <w:szCs w:val="18"/>
                      <w:u w:val="none"/>
                      <w:lang w:eastAsia="zh-CN"/>
                      <w14:textFill>
                        <w14:solidFill>
                          <w14:schemeClr w14:val="tx1"/>
                        </w14:solidFill>
                      </w14:textFill>
                    </w:rPr>
                  </w:pPr>
                </w:p>
              </w:tc>
            </w:tr>
            <w:bookmarkEnd w:id="3"/>
          </w:tbl>
          <w:p>
            <w:pPr>
              <w:spacing w:line="380" w:lineRule="exact"/>
              <w:rPr>
                <w:rFonts w:ascii="宋体" w:hAnsi="宋体" w:cs="宋体"/>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16" w:type="dxa"/>
            <w:vMerge w:val="continue"/>
            <w:tcBorders>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ascii="宋体" w:hAnsi="宋体" w:cs="宋体"/>
                <w:szCs w:val="21"/>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rPr>
              <w:t>技术</w:t>
            </w:r>
            <w:r>
              <w:rPr>
                <w:rFonts w:hint="eastAsia" w:ascii="宋体" w:hAnsi="宋体" w:cs="宋体"/>
                <w:szCs w:val="21"/>
                <w:lang w:val="en-US" w:eastAsia="zh-CN"/>
              </w:rPr>
              <w:t>评审</w:t>
            </w:r>
          </w:p>
          <w:p>
            <w:pPr>
              <w:spacing w:line="380" w:lineRule="exact"/>
              <w:jc w:val="center"/>
              <w:rPr>
                <w:rFonts w:ascii="宋体" w:hAnsi="宋体" w:cs="宋体"/>
                <w:szCs w:val="21"/>
              </w:rPr>
            </w:pPr>
          </w:p>
        </w:tc>
        <w:tc>
          <w:tcPr>
            <w:tcW w:w="7442" w:type="dxa"/>
            <w:gridSpan w:val="3"/>
            <w:tcBorders>
              <w:top w:val="single" w:color="auto" w:sz="4" w:space="0"/>
              <w:left w:val="single" w:color="auto" w:sz="4" w:space="0"/>
              <w:right w:val="single" w:color="auto" w:sz="4" w:space="0"/>
            </w:tcBorders>
            <w:shd w:val="clear" w:color="auto" w:fill="FFFFFF"/>
            <w:vAlign w:val="center"/>
          </w:tcPr>
          <w:tbl>
            <w:tblPr>
              <w:tblStyle w:val="6"/>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145"/>
              <w:gridCol w:w="5295"/>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bookmarkStart w:id="4" w:name="PO_technicalTable"/>
                  <w:r>
                    <w:rPr>
                      <w:rFonts w:hint="eastAsia" w:ascii="宋体" w:hAnsi="宋体" w:cs="仿宋"/>
                      <w:color w:val="000000" w:themeColor="text1"/>
                      <w:sz w:val="18"/>
                      <w:szCs w:val="18"/>
                      <w:u w:val="none"/>
                      <w:lang w:eastAsia="zh-CN"/>
                      <w14:textFill>
                        <w14:solidFill>
                          <w14:schemeClr w14:val="tx1"/>
                        </w14:solidFill>
                      </w14:textFill>
                    </w:rPr>
                    <w:t>参数响应</w:t>
                  </w:r>
                </w:p>
              </w:tc>
              <w:tc>
                <w:tcPr>
                  <w:tcW w:w="1145" w:type="dxa"/>
                  <w:vAlign w:val="center"/>
                </w:tcPr>
                <w:p>
                  <w:pPr>
                    <w:jc w:val="center"/>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30分</w:t>
                  </w:r>
                </w:p>
              </w:tc>
              <w:tc>
                <w:tcPr>
                  <w:tcW w:w="5295" w:type="dxa"/>
                  <w:vAlign w:val="center"/>
                </w:tcPr>
                <w:p>
                  <w:pPr>
                    <w:jc w:val="both"/>
                    <w:rPr>
                      <w:rFonts w:hint="eastAsia" w:ascii="宋体" w:hAnsi="宋体" w:cs="仿宋" w:eastAsiaTheme="minorEastAsia"/>
                      <w:color w:val="000000" w:themeColor="text1"/>
                      <w:sz w:val="18"/>
                      <w:szCs w:val="18"/>
                      <w:u w:val="none"/>
                      <w:lang w:eastAsia="zh-CN"/>
                      <w14:textFill>
                        <w14:solidFill>
                          <w14:schemeClr w14:val="tx1"/>
                        </w14:solidFill>
                      </w14:textFill>
                    </w:rPr>
                  </w:pPr>
                  <w:r>
                    <w:rPr>
                      <w:rFonts w:hint="eastAsia" w:ascii="宋体" w:hAnsi="宋体" w:cs="仿宋"/>
                      <w:color w:val="000000" w:themeColor="text1"/>
                      <w:sz w:val="18"/>
                      <w:szCs w:val="18"/>
                      <w:u w:val="none"/>
                      <w:lang w:eastAsia="zh-CN"/>
                      <w14:textFill>
                        <w14:solidFill>
                          <w14:schemeClr w14:val="tx1"/>
                        </w14:solidFill>
                      </w14:textFill>
                    </w:rPr>
                    <w:t>符合招标文件技术要求的得30分，一项普通参数负偏离扣3分，一项星号参数负偏离扣5分</w:t>
                  </w:r>
                </w:p>
              </w:tc>
            </w:tr>
            <w:bookmarkEnd w:id="4"/>
          </w:tbl>
          <w:p>
            <w:pPr>
              <w:spacing w:line="380" w:lineRule="exact"/>
              <w:jc w:val="left"/>
              <w:rPr>
                <w:rFonts w:ascii="宋体" w:hAnsi="宋体" w:cs="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57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价格评审</w:t>
            </w:r>
          </w:p>
          <w:p>
            <w:pPr>
              <w:spacing w:line="380" w:lineRule="exact"/>
              <w:jc w:val="both"/>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18"/>
                <w:szCs w:val="18"/>
              </w:rPr>
            </w:pPr>
            <w:bookmarkStart w:id="5" w:name="PO_evaluation_price_score_2"/>
            <w:r>
              <w:rPr>
                <w:rFonts w:hint="eastAsia" w:ascii="宋体" w:hAnsi="宋体" w:cs="宋体"/>
                <w:sz w:val="18"/>
                <w:szCs w:val="18"/>
                <w:lang w:eastAsia="zh-CN"/>
              </w:rPr>
              <w:t>30</w:t>
            </w:r>
            <w:bookmarkEnd w:id="5"/>
            <w:r>
              <w:rPr>
                <w:rFonts w:hint="eastAsia" w:ascii="宋体" w:hAnsi="宋体" w:cs="宋体"/>
                <w:sz w:val="18"/>
                <w:szCs w:val="18"/>
              </w:rPr>
              <w:t>分</w:t>
            </w:r>
          </w:p>
        </w:tc>
        <w:tc>
          <w:tcPr>
            <w:tcW w:w="49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eastAsiaTheme="minorEastAsia"/>
                <w:sz w:val="18"/>
                <w:szCs w:val="18"/>
                <w:lang w:eastAsia="zh-CN"/>
              </w:rPr>
            </w:pPr>
            <w:r>
              <w:rPr>
                <w:rFonts w:hint="eastAsia" w:ascii="宋体" w:hAnsi="宋体" w:cs="宋体"/>
                <w:sz w:val="18"/>
                <w:szCs w:val="18"/>
              </w:rPr>
              <w:t>该项目的报价。价格分统一采用</w:t>
            </w:r>
            <w:bookmarkStart w:id="6" w:name="PO_calculateMethod"/>
            <w:r>
              <w:rPr>
                <w:rFonts w:hint="eastAsia" w:ascii="宋体" w:hAnsi="宋体" w:cs="宋体"/>
                <w:sz w:val="18"/>
                <w:szCs w:val="18"/>
                <w:lang w:eastAsia="zh-CN"/>
              </w:rPr>
              <w:t>低价</w:t>
            </w:r>
            <w:bookmarkEnd w:id="6"/>
            <w:r>
              <w:rPr>
                <w:rFonts w:hint="eastAsia" w:ascii="宋体" w:hAnsi="宋体" w:cs="宋体"/>
                <w:sz w:val="18"/>
                <w:szCs w:val="18"/>
              </w:rPr>
              <w:t>优先法计算，即满足磋商文件要求且最后报价最低的投标人的价格为磋商基准价，其价格分为满分</w:t>
            </w:r>
            <w:bookmarkStart w:id="7" w:name="PO_evaluation_price_score_3"/>
            <w:r>
              <w:rPr>
                <w:rFonts w:hint="eastAsia" w:ascii="宋体" w:hAnsi="宋体" w:cs="宋体"/>
                <w:sz w:val="18"/>
                <w:szCs w:val="18"/>
                <w:lang w:eastAsia="zh-CN"/>
              </w:rPr>
              <w:t>30</w:t>
            </w:r>
            <w:bookmarkEnd w:id="7"/>
            <w:r>
              <w:rPr>
                <w:rFonts w:hint="eastAsia" w:ascii="宋体" w:hAnsi="宋体" w:cs="宋体"/>
                <w:sz w:val="18"/>
                <w:szCs w:val="18"/>
              </w:rPr>
              <w:t>分。计算公式：磋商报价得分＝</w:t>
            </w:r>
            <w:bookmarkStart w:id="8" w:name="PO_formula"/>
            <w:r>
              <w:rPr>
                <w:rFonts w:hint="eastAsia" w:ascii="宋体" w:hAnsi="宋体" w:cs="宋体"/>
                <w:sz w:val="18"/>
                <w:szCs w:val="18"/>
                <w:lang w:eastAsia="zh-CN"/>
              </w:rPr>
              <w:t>（磋商基准价/最后磋商报价) × 30% × 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74"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总分（100分）</w:t>
            </w:r>
          </w:p>
        </w:tc>
      </w:tr>
    </w:tbl>
    <w:p>
      <w:pPr>
        <w:rPr>
          <w:rFonts w:hint="default"/>
          <w:color w:val="0070C0"/>
          <w:lang w:val="en-US" w:eastAsia="zh-CN"/>
        </w:rPr>
      </w:pPr>
      <w:r>
        <w:rPr>
          <w:rFonts w:hint="default"/>
          <w:color w:val="0070C0"/>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5"/>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kern w:val="0"/>
                <w:sz w:val="21"/>
                <w:szCs w:val="21"/>
                <w:highlight w:val="yellow"/>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kern w:val="0"/>
                <w:sz w:val="21"/>
                <w:szCs w:val="21"/>
                <w:highlight w:val="yellow"/>
              </w:rPr>
              <w:sym w:font="Wingdings" w:char="00FE"/>
            </w:r>
            <w:r>
              <w:rPr>
                <w:rFonts w:hint="eastAsia" w:ascii="微软雅黑" w:hAnsi="微软雅黑" w:eastAsia="微软雅黑" w:cs="微软雅黑"/>
                <w:color w:val="0070C0"/>
                <w:kern w:val="0"/>
                <w:sz w:val="21"/>
                <w:szCs w:val="21"/>
                <w:highlight w:val="yellow"/>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sz w:val="21"/>
                <w:szCs w:val="21"/>
                <w:highlight w:val="yellow"/>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0070C0"/>
                <w:sz w:val="21"/>
                <w:szCs w:val="21"/>
                <w:highlight w:val="yellow"/>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kern w:val="0"/>
                <w:sz w:val="21"/>
                <w:szCs w:val="21"/>
                <w:highlight w:val="yellow"/>
              </w:rPr>
              <w:sym w:font="Wingdings" w:char="00A8"/>
            </w:r>
            <w:r>
              <w:rPr>
                <w:rFonts w:hint="eastAsia" w:ascii="微软雅黑" w:hAnsi="微软雅黑" w:eastAsia="微软雅黑" w:cs="微软雅黑"/>
                <w:color w:val="0070C0"/>
                <w:kern w:val="0"/>
                <w:sz w:val="21"/>
                <w:szCs w:val="21"/>
                <w:highlight w:val="yellow"/>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sz w:val="21"/>
                <w:szCs w:val="21"/>
                <w:highlight w:val="yellow"/>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70C0"/>
                <w:sz w:val="21"/>
                <w:szCs w:val="21"/>
                <w:highlight w:val="yellow"/>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kern w:val="0"/>
                <w:sz w:val="21"/>
                <w:szCs w:val="21"/>
                <w:highlight w:val="yellow"/>
              </w:rPr>
              <w:sym w:font="Wingdings" w:char="00A8"/>
            </w:r>
            <w:r>
              <w:rPr>
                <w:rFonts w:hint="eastAsia" w:ascii="微软雅黑" w:hAnsi="微软雅黑" w:eastAsia="微软雅黑" w:cs="微软雅黑"/>
                <w:color w:val="0070C0"/>
                <w:kern w:val="0"/>
                <w:sz w:val="21"/>
                <w:szCs w:val="21"/>
                <w:highlight w:val="yellow"/>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2"/>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2"/>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9"/>
        <w:rPr>
          <w:rFonts w:ascii="仿宋" w:hAnsi="仿宋" w:eastAsia="仿宋" w:cs="微软雅黑"/>
          <w:sz w:val="28"/>
          <w:szCs w:val="28"/>
        </w:rPr>
      </w:pPr>
    </w:p>
    <w:p>
      <w:pPr>
        <w:pStyle w:val="9"/>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9"/>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9"/>
        <w:rPr>
          <w:rFonts w:ascii="仿宋" w:hAnsi="仿宋" w:eastAsia="仿宋" w:cs="微软雅黑"/>
          <w:b/>
          <w:sz w:val="30"/>
          <w:szCs w:val="30"/>
        </w:rPr>
      </w:pPr>
      <w:r>
        <w:rPr>
          <w:rFonts w:hint="eastAsia" w:ascii="仿宋" w:hAnsi="仿宋" w:eastAsia="仿宋" w:cs="微软雅黑"/>
          <w:b/>
          <w:sz w:val="30"/>
          <w:szCs w:val="30"/>
        </w:rPr>
        <w:t>项目名称：</w:t>
      </w:r>
    </w:p>
    <w:p>
      <w:pPr>
        <w:pStyle w:val="9"/>
        <w:rPr>
          <w:rFonts w:ascii="仿宋" w:hAnsi="仿宋" w:eastAsia="仿宋" w:cs="微软雅黑"/>
          <w:b/>
          <w:sz w:val="30"/>
          <w:szCs w:val="30"/>
        </w:rPr>
      </w:pPr>
    </w:p>
    <w:p>
      <w:pPr>
        <w:pStyle w:val="9"/>
        <w:rPr>
          <w:rFonts w:ascii="仿宋" w:hAnsi="仿宋" w:eastAsia="仿宋" w:cs="微软雅黑"/>
          <w:b/>
          <w:sz w:val="30"/>
          <w:szCs w:val="30"/>
        </w:rPr>
      </w:pPr>
    </w:p>
    <w:p>
      <w:pPr>
        <w:pStyle w:val="9"/>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9"/>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9"/>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9"/>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6"/>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9" w:name="_Toc3454"/>
      <w:bookmarkStart w:id="10"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9"/>
      <w:bookmarkEnd w:id="10"/>
    </w:p>
    <w:p>
      <w:pPr>
        <w:pStyle w:val="4"/>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r>
        <w:rPr>
          <w:rFonts w:hint="eastAsia" w:ascii="仿宋" w:hAnsi="仿宋" w:eastAsia="仿宋" w:cs="微软雅黑"/>
          <w:b/>
          <w:bCs/>
          <w:sz w:val="28"/>
          <w:szCs w:val="28"/>
          <w:u w:val="single"/>
          <w:lang w:eastAsia="zh-CN"/>
        </w:rPr>
        <w:t>万山分院</w:t>
      </w:r>
      <w:r>
        <w:rPr>
          <w:rFonts w:hint="eastAsia" w:ascii="仿宋" w:hAnsi="仿宋" w:eastAsia="仿宋" w:cs="微软雅黑"/>
          <w:b/>
          <w:bCs/>
          <w:sz w:val="28"/>
          <w:szCs w:val="28"/>
          <w:u w:val="single"/>
        </w:rPr>
        <w:t>：</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11" w:name="_Toc18591"/>
    </w:p>
    <w:p>
      <w:pPr>
        <w:spacing w:line="360" w:lineRule="exact"/>
        <w:outlineLvl w:val="1"/>
        <w:rPr>
          <w:rFonts w:ascii="仿宋" w:hAnsi="仿宋" w:eastAsia="仿宋" w:cs="微软雅黑"/>
          <w:b/>
          <w:sz w:val="28"/>
          <w:szCs w:val="28"/>
        </w:rPr>
      </w:pPr>
      <w:bookmarkStart w:id="12"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11"/>
      <w:bookmarkEnd w:id="12"/>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060"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w:t>
            </w:r>
            <w:r>
              <w:rPr>
                <w:rFonts w:hint="eastAsia" w:ascii="仿宋" w:hAnsi="仿宋" w:eastAsia="仿宋" w:cs="微软雅黑"/>
                <w:kern w:val="0"/>
                <w:sz w:val="28"/>
                <w:szCs w:val="28"/>
                <w:lang w:eastAsia="zh-CN"/>
              </w:rPr>
              <w:t>法</w:t>
            </w:r>
            <w:r>
              <w:rPr>
                <w:rFonts w:hint="eastAsia" w:ascii="仿宋" w:hAnsi="仿宋" w:eastAsia="仿宋" w:cs="微软雅黑"/>
                <w:kern w:val="0"/>
                <w:sz w:val="28"/>
                <w:szCs w:val="28"/>
              </w:rPr>
              <w:t>人身份证（正反面复印件）：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060" w:type="dxa"/>
          </w:tcPr>
          <w:p>
            <w:pPr>
              <w:autoSpaceDE w:val="0"/>
              <w:autoSpaceDN w:val="0"/>
              <w:adjustRightInd w:val="0"/>
              <w:spacing w:line="360" w:lineRule="exact"/>
              <w:jc w:val="left"/>
              <w:rPr>
                <w:rFonts w:hint="eastAsia"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13" w:name="_Toc432149008"/>
      <w:bookmarkStart w:id="14" w:name="_Toc3488"/>
      <w:bookmarkStart w:id="15" w:name="_Toc424832832"/>
      <w:bookmarkStart w:id="16" w:name="_Toc36012018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17"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13"/>
      <w:bookmarkEnd w:id="14"/>
      <w:bookmarkEnd w:id="15"/>
      <w:bookmarkEnd w:id="16"/>
      <w:bookmarkEnd w:id="17"/>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w:t>
      </w:r>
      <w:r>
        <w:rPr>
          <w:rFonts w:hint="eastAsia" w:ascii="仿宋" w:hAnsi="仿宋" w:eastAsia="仿宋" w:cs="微软雅黑"/>
          <w:kern w:val="0"/>
          <w:sz w:val="28"/>
          <w:szCs w:val="28"/>
          <w:lang w:val="en-US" w:eastAsia="zh-CN"/>
        </w:rPr>
        <w:t xml:space="preserve">     </w:t>
      </w:r>
      <w:r>
        <w:rPr>
          <w:rFonts w:hint="eastAsia" w:ascii="仿宋" w:hAnsi="仿宋" w:eastAsia="仿宋" w:cs="微软雅黑"/>
          <w:kern w:val="0"/>
          <w:sz w:val="28"/>
          <w:szCs w:val="28"/>
        </w:rPr>
        <w:t>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8"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9"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8"/>
    <w:bookmarkEnd w:id="19"/>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5"/>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20" w:name="_Toc529"/>
      <w:r>
        <w:rPr>
          <w:rFonts w:hint="eastAsia" w:ascii="仿宋" w:hAnsi="仿宋" w:eastAsia="仿宋" w:cs="微软雅黑"/>
          <w:b/>
          <w:sz w:val="28"/>
          <w:szCs w:val="28"/>
        </w:rPr>
        <w:br w:type="page"/>
      </w:r>
    </w:p>
    <w:bookmarkEnd w:id="20"/>
    <w:p>
      <w:pPr>
        <w:pStyle w:val="2"/>
        <w:adjustRightInd w:val="0"/>
        <w:snapToGrid w:val="0"/>
        <w:spacing w:before="0" w:after="0" w:line="240" w:lineRule="auto"/>
        <w:jc w:val="left"/>
        <w:rPr>
          <w:rFonts w:ascii="仿宋_GB2312" w:hAnsi="仿宋_GB2312" w:eastAsia="仿宋_GB2312" w:cs="仿宋_GB2312"/>
          <w:szCs w:val="28"/>
        </w:rPr>
      </w:pPr>
      <w:bookmarkStart w:id="21"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22" w:name="_Toc28271_WPSOffice_Level2"/>
      <w:bookmarkStart w:id="23" w:name="_Toc16044_WPSOffice_Level2"/>
      <w:r>
        <w:rPr>
          <w:rFonts w:hint="eastAsia" w:ascii="仿宋_GB2312" w:hAnsi="仿宋_GB2312" w:eastAsia="仿宋_GB2312" w:cs="仿宋_GB2312"/>
          <w:b/>
          <w:bCs/>
          <w:sz w:val="28"/>
          <w:szCs w:val="28"/>
        </w:rPr>
        <w:t>分项报价表</w:t>
      </w:r>
      <w:bookmarkEnd w:id="22"/>
      <w:bookmarkEnd w:id="23"/>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21"/>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24" w:name="_Toc11910"/>
      <w:r>
        <w:rPr>
          <w:rFonts w:hint="eastAsia" w:ascii="仿宋" w:hAnsi="仿宋" w:eastAsia="仿宋" w:cs="微软雅黑"/>
          <w:b/>
          <w:sz w:val="28"/>
          <w:szCs w:val="28"/>
        </w:rPr>
        <w:t>格式7需求响应文件</w:t>
      </w:r>
      <w:bookmarkEnd w:id="24"/>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25" w:name="_Toc11253"/>
      <w:r>
        <w:rPr>
          <w:rFonts w:hint="eastAsia" w:ascii="仿宋" w:hAnsi="仿宋" w:eastAsia="仿宋" w:cs="微软雅黑"/>
          <w:b/>
          <w:sz w:val="28"/>
          <w:szCs w:val="28"/>
        </w:rPr>
        <w:t>格式8评审办法响应文件</w:t>
      </w:r>
      <w:bookmarkEnd w:id="25"/>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26" w:name="_Toc7229"/>
      <w:bookmarkStart w:id="27" w:name="_Toc4730"/>
      <w:bookmarkStart w:id="28"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9"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26"/>
      <w:bookmarkEnd w:id="27"/>
      <w:bookmarkEnd w:id="28"/>
      <w:bookmarkEnd w:id="29"/>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r>
        <w:rPr>
          <w:rFonts w:hint="eastAsia" w:ascii="仿宋" w:hAnsi="仿宋" w:eastAsia="仿宋" w:cs="微软雅黑"/>
          <w:kern w:val="0"/>
          <w:sz w:val="28"/>
          <w:szCs w:val="28"/>
          <w:lang w:eastAsia="zh-CN"/>
        </w:rPr>
        <w:t>万山分院</w:t>
      </w:r>
      <w:r>
        <w:rPr>
          <w:rFonts w:hint="eastAsia" w:ascii="仿宋" w:hAnsi="仿宋" w:eastAsia="仿宋" w:cs="微软雅黑"/>
          <w:kern w:val="0"/>
          <w:sz w:val="28"/>
          <w:szCs w:val="28"/>
        </w:rPr>
        <w:t>：</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30"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30"/>
    </w:p>
    <w:p>
      <w:pPr>
        <w:jc w:val="center"/>
        <w:rPr>
          <w:rFonts w:ascii="宋体" w:hAnsi="宋体"/>
          <w:b/>
          <w:sz w:val="28"/>
          <w:szCs w:val="28"/>
        </w:rPr>
      </w:pPr>
    </w:p>
    <w:p>
      <w:pPr>
        <w:pStyle w:val="10"/>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0"/>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0"/>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0"/>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0"/>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9"/>
      </w:pPr>
    </w:p>
    <w:p>
      <w:pPr>
        <w:pStyle w:val="9"/>
      </w:pPr>
    </w:p>
    <w:p>
      <w:pPr>
        <w:pStyle w:val="10"/>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0"/>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0"/>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关于放弃参与襄阳市中心医院万山分院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8"/>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8"/>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9"/>
        <w:rPr>
          <w:rFonts w:hint="default" w:ascii="仿宋" w:hAnsi="仿宋" w:eastAsia="仿宋" w:cs="微软雅黑"/>
          <w:b w:val="0"/>
          <w:bCs/>
          <w:sz w:val="28"/>
          <w:szCs w:val="28"/>
          <w:lang w:val="en-US" w:eastAsia="zh-CN"/>
        </w:rPr>
      </w:pPr>
    </w:p>
    <w:p>
      <w:pPr>
        <w:pStyle w:val="9"/>
        <w:rPr>
          <w:rFonts w:hint="default" w:ascii="仿宋" w:hAnsi="仿宋" w:eastAsia="仿宋" w:cs="微软雅黑"/>
          <w:b w:val="0"/>
          <w:bCs/>
          <w:sz w:val="28"/>
          <w:szCs w:val="28"/>
          <w:lang w:val="en-US" w:eastAsia="zh-CN"/>
        </w:rPr>
      </w:pPr>
    </w:p>
    <w:p>
      <w:pPr>
        <w:pStyle w:val="9"/>
        <w:rPr>
          <w:rFonts w:hint="default" w:ascii="仿宋" w:hAnsi="仿宋" w:eastAsia="仿宋" w:cs="微软雅黑"/>
          <w:b w:val="0"/>
          <w:bCs/>
          <w:sz w:val="28"/>
          <w:szCs w:val="28"/>
          <w:lang w:val="en-US" w:eastAsia="zh-CN"/>
        </w:rPr>
      </w:pPr>
    </w:p>
    <w:p>
      <w:pPr>
        <w:pStyle w:val="9"/>
        <w:rPr>
          <w:rFonts w:hint="default" w:ascii="仿宋" w:hAnsi="仿宋" w:eastAsia="仿宋" w:cs="微软雅黑"/>
          <w:b w:val="0"/>
          <w:bCs/>
          <w:sz w:val="28"/>
          <w:szCs w:val="28"/>
          <w:lang w:val="en-US" w:eastAsia="zh-CN"/>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35CAF"/>
    <w:rsid w:val="09722EE0"/>
    <w:rsid w:val="116100F8"/>
    <w:rsid w:val="20F35CAF"/>
    <w:rsid w:val="6D6C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4">
    <w:name w:val="toc 1"/>
    <w:basedOn w:val="1"/>
    <w:next w:val="1"/>
    <w:qFormat/>
    <w:uiPriority w:val="39"/>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2025-03-10T01:00:00Z</dcterms:created>
  <dc:creator>Administrator</dc:creator>
  <cp:lastModifiedBy>Administrator</cp:lastModifiedBy>
  <dcterms:modified xsi:type="dcterms:W3CDTF">2025-03-27T02:33:28Z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