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F6B59">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14:paraId="180C65CA">
      <w:pPr>
        <w:rPr>
          <w:rFonts w:hint="eastAsia" w:eastAsiaTheme="minorEastAsia"/>
          <w:lang w:eastAsia="zh-CN"/>
        </w:rPr>
      </w:pPr>
    </w:p>
    <w:p w14:paraId="5EFF26EB">
      <w:pPr>
        <w:rPr>
          <w:rFonts w:hint="eastAsia" w:eastAsiaTheme="minorEastAsia"/>
          <w:b/>
          <w:bCs/>
          <w:lang w:eastAsia="zh-CN"/>
        </w:rPr>
      </w:pPr>
    </w:p>
    <w:p w14:paraId="731F2B65">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襄阳市中心医院万山分院</w:t>
      </w:r>
    </w:p>
    <w:p w14:paraId="26F293BF">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14:paraId="7635DCA1">
      <w:pPr>
        <w:jc w:val="center"/>
        <w:rPr>
          <w:rFonts w:hint="eastAsia" w:ascii="微软雅黑" w:hAnsi="微软雅黑" w:eastAsia="微软雅黑" w:cs="微软雅黑"/>
          <w:b/>
          <w:bCs/>
          <w:sz w:val="44"/>
          <w:szCs w:val="52"/>
          <w:u w:val="single"/>
          <w:lang w:val="en-US" w:eastAsia="zh-CN"/>
        </w:rPr>
      </w:pPr>
    </w:p>
    <w:p w14:paraId="2608DA6D">
      <w:pPr>
        <w:jc w:val="center"/>
        <w:rPr>
          <w:rFonts w:hint="eastAsia" w:ascii="微软雅黑" w:hAnsi="微软雅黑" w:eastAsia="微软雅黑" w:cs="微软雅黑"/>
          <w:b/>
          <w:bCs/>
          <w:sz w:val="44"/>
          <w:szCs w:val="52"/>
          <w:u w:val="single"/>
          <w:lang w:val="en-US" w:eastAsia="zh-CN"/>
        </w:rPr>
      </w:pPr>
    </w:p>
    <w:p w14:paraId="785F09FD">
      <w:pPr>
        <w:jc w:val="center"/>
        <w:rPr>
          <w:rFonts w:hint="eastAsia" w:ascii="微软雅黑" w:hAnsi="微软雅黑" w:eastAsia="微软雅黑" w:cs="微软雅黑"/>
          <w:b/>
          <w:bCs/>
          <w:sz w:val="72"/>
          <w:szCs w:val="144"/>
          <w:u w:val="none"/>
          <w:lang w:val="en-US" w:eastAsia="zh-CN"/>
        </w:rPr>
      </w:pPr>
      <w:r>
        <w:rPr>
          <w:rFonts w:hint="eastAsia" w:ascii="微软雅黑" w:hAnsi="微软雅黑" w:eastAsia="微软雅黑" w:cs="微软雅黑"/>
          <w:b/>
          <w:bCs/>
          <w:sz w:val="72"/>
          <w:szCs w:val="144"/>
          <w:u w:val="none"/>
          <w:lang w:val="en-US" w:eastAsia="zh-CN"/>
        </w:rPr>
        <w:t>采购文件</w:t>
      </w:r>
    </w:p>
    <w:p w14:paraId="55AAFD4A">
      <w:pPr>
        <w:jc w:val="center"/>
        <w:rPr>
          <w:rFonts w:hint="eastAsia" w:ascii="微软雅黑" w:hAnsi="微软雅黑" w:eastAsia="微软雅黑" w:cs="微软雅黑"/>
          <w:b/>
          <w:bCs/>
          <w:sz w:val="72"/>
          <w:szCs w:val="144"/>
          <w:u w:val="none"/>
          <w:lang w:val="en-US" w:eastAsia="zh-CN"/>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14:paraId="3608E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14:paraId="52F7A027">
            <w:pPr>
              <w:jc w:val="center"/>
              <w:rPr>
                <w:rFonts w:hint="default" w:ascii="微软雅黑" w:hAnsi="微软雅黑" w:eastAsia="微软雅黑" w:cs="微软雅黑"/>
                <w:b/>
                <w:bCs/>
                <w:color w:val="0070C0"/>
                <w:sz w:val="32"/>
                <w:szCs w:val="40"/>
                <w:u w:val="none"/>
                <w:lang w:val="en-US" w:eastAsia="zh-CN"/>
              </w:rPr>
            </w:pPr>
            <w:r>
              <w:rPr>
                <w:rFonts w:hint="eastAsia" w:ascii="微软雅黑" w:hAnsi="微软雅黑" w:eastAsia="微软雅黑" w:cs="微软雅黑"/>
                <w:b/>
                <w:bCs/>
                <w:color w:val="0070C0"/>
                <w:sz w:val="32"/>
                <w:szCs w:val="40"/>
                <w:u w:val="none"/>
                <w:lang w:val="en-US" w:eastAsia="zh-CN"/>
              </w:rPr>
              <w:t>采购方式：</w:t>
            </w:r>
          </w:p>
        </w:tc>
        <w:tc>
          <w:tcPr>
            <w:tcW w:w="5866" w:type="dxa"/>
          </w:tcPr>
          <w:p w14:paraId="29318549">
            <w:pPr>
              <w:jc w:val="left"/>
              <w:rPr>
                <w:rFonts w:hint="default" w:ascii="微软雅黑" w:hAnsi="微软雅黑" w:eastAsia="微软雅黑" w:cs="微软雅黑"/>
                <w:b/>
                <w:bCs/>
                <w:color w:val="0070C0"/>
                <w:sz w:val="32"/>
                <w:szCs w:val="40"/>
                <w:u w:val="none"/>
                <w:lang w:val="en-US" w:eastAsia="zh-CN"/>
              </w:rPr>
            </w:pPr>
            <w:r>
              <w:rPr>
                <w:rFonts w:hint="eastAsia" w:ascii="微软雅黑" w:hAnsi="微软雅黑" w:eastAsia="微软雅黑" w:cs="微软雅黑"/>
                <w:b/>
                <w:bCs/>
                <w:color w:val="0070C0"/>
                <w:sz w:val="28"/>
                <w:szCs w:val="28"/>
                <w:vertAlign w:val="baseline"/>
                <w:lang w:val="en-US" w:eastAsia="zh-CN"/>
              </w:rPr>
              <w:sym w:font="Wingdings" w:char="00FE"/>
            </w:r>
            <w:r>
              <w:rPr>
                <w:rFonts w:hint="eastAsia" w:ascii="微软雅黑" w:hAnsi="微软雅黑" w:eastAsia="微软雅黑" w:cs="微软雅黑"/>
                <w:b/>
                <w:bCs/>
                <w:color w:val="0070C0"/>
                <w:sz w:val="28"/>
                <w:szCs w:val="28"/>
                <w:vertAlign w:val="baseline"/>
                <w:lang w:val="en-US" w:eastAsia="zh-CN"/>
              </w:rPr>
              <w:t>磋商；</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询价；</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谈判；</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其他：</w:t>
            </w:r>
            <w:r>
              <w:rPr>
                <w:rFonts w:hint="eastAsia" w:ascii="微软雅黑" w:hAnsi="微软雅黑" w:eastAsia="微软雅黑" w:cs="微软雅黑"/>
                <w:b/>
                <w:bCs/>
                <w:color w:val="0070C0"/>
                <w:sz w:val="28"/>
                <w:szCs w:val="28"/>
                <w:u w:val="single"/>
                <w:vertAlign w:val="baseline"/>
                <w:lang w:val="en-US" w:eastAsia="zh-CN"/>
              </w:rPr>
              <w:t xml:space="preserve">        </w:t>
            </w:r>
          </w:p>
        </w:tc>
      </w:tr>
      <w:tr w14:paraId="1C2C4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14:paraId="51BC34C7">
            <w:pPr>
              <w:jc w:val="center"/>
              <w:rPr>
                <w:rFonts w:hint="default" w:ascii="微软雅黑" w:hAnsi="微软雅黑" w:eastAsia="微软雅黑" w:cs="微软雅黑"/>
                <w:b/>
                <w:bCs/>
                <w:color w:val="0070C0"/>
                <w:sz w:val="32"/>
                <w:szCs w:val="40"/>
                <w:u w:val="none"/>
                <w:lang w:val="en-US" w:eastAsia="zh-CN"/>
              </w:rPr>
            </w:pPr>
            <w:r>
              <w:rPr>
                <w:rFonts w:hint="eastAsia" w:ascii="微软雅黑" w:hAnsi="微软雅黑" w:eastAsia="微软雅黑" w:cs="微软雅黑"/>
                <w:b/>
                <w:bCs/>
                <w:color w:val="0070C0"/>
                <w:sz w:val="32"/>
                <w:szCs w:val="40"/>
                <w:u w:val="none"/>
                <w:lang w:val="en-US" w:eastAsia="zh-CN"/>
              </w:rPr>
              <w:t>项目类型：</w:t>
            </w:r>
          </w:p>
        </w:tc>
        <w:tc>
          <w:tcPr>
            <w:tcW w:w="5866" w:type="dxa"/>
          </w:tcPr>
          <w:p w14:paraId="1EA9DD61">
            <w:pPr>
              <w:jc w:val="left"/>
              <w:rPr>
                <w:rFonts w:hint="eastAsia" w:ascii="微软雅黑" w:hAnsi="微软雅黑" w:eastAsia="微软雅黑" w:cs="微软雅黑"/>
                <w:b/>
                <w:bCs/>
                <w:color w:val="0070C0"/>
                <w:sz w:val="28"/>
                <w:szCs w:val="28"/>
                <w:vertAlign w:val="baseline"/>
                <w:lang w:val="en-US" w:eastAsia="zh-CN"/>
              </w:rPr>
            </w:pP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货物类；</w:t>
            </w:r>
            <w:r>
              <w:rPr>
                <w:rFonts w:hint="eastAsia" w:ascii="微软雅黑" w:hAnsi="微软雅黑" w:eastAsia="微软雅黑" w:cs="微软雅黑"/>
                <w:b/>
                <w:bCs/>
                <w:color w:val="0070C0"/>
                <w:sz w:val="28"/>
                <w:szCs w:val="28"/>
                <w:vertAlign w:val="baseline"/>
                <w:lang w:val="en-US" w:eastAsia="zh-CN"/>
              </w:rPr>
              <w:sym w:font="Wingdings" w:char="00FE"/>
            </w:r>
            <w:r>
              <w:rPr>
                <w:rFonts w:hint="eastAsia" w:ascii="微软雅黑" w:hAnsi="微软雅黑" w:eastAsia="微软雅黑" w:cs="微软雅黑"/>
                <w:b/>
                <w:bCs/>
                <w:color w:val="0070C0"/>
                <w:sz w:val="28"/>
                <w:szCs w:val="28"/>
                <w:vertAlign w:val="baseline"/>
                <w:lang w:val="en-US" w:eastAsia="zh-CN"/>
              </w:rPr>
              <w:t>服务类；</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工程类</w:t>
            </w:r>
          </w:p>
        </w:tc>
      </w:tr>
      <w:tr w14:paraId="53EB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2656" w:type="dxa"/>
          </w:tcPr>
          <w:p w14:paraId="1A0EDFDF">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color w:val="0070C0"/>
                <w:sz w:val="32"/>
                <w:szCs w:val="40"/>
                <w:u w:val="none"/>
                <w:lang w:val="en-US" w:eastAsia="zh-CN"/>
              </w:rPr>
              <w:t>项目名称：</w:t>
            </w:r>
          </w:p>
        </w:tc>
        <w:tc>
          <w:tcPr>
            <w:tcW w:w="5866" w:type="dxa"/>
          </w:tcPr>
          <w:p w14:paraId="7112FAE3">
            <w:pPr>
              <w:jc w:val="center"/>
              <w:rPr>
                <w:rFonts w:hint="eastAsia" w:ascii="微软雅黑" w:hAnsi="微软雅黑" w:eastAsia="微软雅黑" w:cs="微软雅黑"/>
                <w:b/>
                <w:bCs/>
                <w:sz w:val="32"/>
                <w:szCs w:val="40"/>
                <w:u w:val="none"/>
                <w:lang w:val="en-US" w:eastAsia="zh-CN"/>
              </w:rPr>
            </w:pPr>
            <w:r>
              <w:rPr>
                <w:rFonts w:hint="eastAsia" w:ascii="微软雅黑" w:hAnsi="微软雅黑" w:eastAsia="微软雅黑" w:cs="微软雅黑"/>
                <w:b/>
                <w:bCs/>
                <w:sz w:val="32"/>
                <w:szCs w:val="40"/>
                <w:u w:val="none"/>
                <w:lang w:val="en-US" w:eastAsia="zh-CN"/>
              </w:rPr>
              <w:t>襄阳市中心医院万山分院2024年度保安外包服务</w:t>
            </w:r>
          </w:p>
        </w:tc>
      </w:tr>
      <w:tr w14:paraId="6C08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14:paraId="6921C37A">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sz w:val="32"/>
                <w:szCs w:val="40"/>
                <w:u w:val="none"/>
                <w:lang w:val="en-US" w:eastAsia="zh-CN"/>
              </w:rPr>
              <w:t>项目编码：</w:t>
            </w:r>
          </w:p>
        </w:tc>
        <w:tc>
          <w:tcPr>
            <w:tcW w:w="5866" w:type="dxa"/>
          </w:tcPr>
          <w:p w14:paraId="5CC3802C">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color w:val="auto"/>
                <w:sz w:val="32"/>
                <w:szCs w:val="32"/>
                <w:lang w:val="en-US" w:eastAsia="zh-CN"/>
              </w:rPr>
              <w:t>WSZHB20240004</w:t>
            </w:r>
          </w:p>
        </w:tc>
      </w:tr>
      <w:tr w14:paraId="0C1D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14:paraId="5C9CC07C">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采购单位：</w:t>
            </w:r>
          </w:p>
        </w:tc>
        <w:tc>
          <w:tcPr>
            <w:tcW w:w="5866" w:type="dxa"/>
          </w:tcPr>
          <w:p w14:paraId="6CC164D8">
            <w:pPr>
              <w:jc w:val="center"/>
              <w:rPr>
                <w:rFonts w:hint="default" w:ascii="微软雅黑" w:hAnsi="微软雅黑" w:eastAsia="微软雅黑" w:cs="微软雅黑"/>
                <w:b/>
                <w:bCs/>
                <w:sz w:val="32"/>
                <w:szCs w:val="40"/>
                <w:highlight w:val="none"/>
                <w:u w:val="none"/>
                <w:lang w:val="en-US" w:eastAsia="zh-CN"/>
              </w:rPr>
            </w:pPr>
            <w:r>
              <w:rPr>
                <w:rFonts w:hint="default" w:ascii="微软雅黑" w:hAnsi="微软雅黑" w:eastAsia="微软雅黑" w:cs="微软雅黑"/>
                <w:b/>
                <w:bCs/>
                <w:sz w:val="32"/>
                <w:szCs w:val="40"/>
                <w:highlight w:val="none"/>
                <w:u w:val="none"/>
                <w:lang w:val="en-US" w:eastAsia="zh-CN"/>
              </w:rPr>
              <w:t>襄阳市中心医院</w:t>
            </w:r>
            <w:r>
              <w:rPr>
                <w:rFonts w:hint="eastAsia" w:ascii="微软雅黑" w:hAnsi="微软雅黑" w:eastAsia="微软雅黑" w:cs="微软雅黑"/>
                <w:b/>
                <w:bCs/>
                <w:sz w:val="32"/>
                <w:szCs w:val="40"/>
                <w:highlight w:val="none"/>
                <w:u w:val="none"/>
                <w:lang w:val="en-US" w:eastAsia="zh-CN"/>
              </w:rPr>
              <w:t>万山分院</w:t>
            </w:r>
          </w:p>
        </w:tc>
      </w:tr>
      <w:tr w14:paraId="0356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14:paraId="40E0DFF6">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采购日期：</w:t>
            </w:r>
          </w:p>
        </w:tc>
        <w:tc>
          <w:tcPr>
            <w:tcW w:w="5866" w:type="dxa"/>
          </w:tcPr>
          <w:p w14:paraId="7690D1D3">
            <w:pPr>
              <w:ind w:firstLine="640" w:firstLineChars="200"/>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2024年 7 月 30 日</w:t>
            </w:r>
          </w:p>
        </w:tc>
      </w:tr>
    </w:tbl>
    <w:p w14:paraId="3AC25F18">
      <w:pPr>
        <w:rPr>
          <w:rFonts w:hint="default" w:ascii="微软雅黑" w:hAnsi="微软雅黑" w:eastAsia="微软雅黑" w:cs="微软雅黑"/>
          <w:b/>
          <w:bCs/>
          <w:sz w:val="72"/>
          <w:szCs w:val="144"/>
          <w:u w:val="none"/>
          <w:lang w:val="en-US" w:eastAsia="zh-CN"/>
        </w:rPr>
      </w:pPr>
      <w:r>
        <w:rPr>
          <w:rFonts w:hint="default" w:ascii="微软雅黑" w:hAnsi="微软雅黑" w:eastAsia="微软雅黑" w:cs="微软雅黑"/>
          <w:b/>
          <w:bCs/>
          <w:sz w:val="72"/>
          <w:szCs w:val="144"/>
          <w:u w:val="none"/>
          <w:lang w:val="en-US" w:eastAsia="zh-CN"/>
        </w:rPr>
        <w:br w:type="page"/>
      </w:r>
    </w:p>
    <w:p w14:paraId="64C9B974">
      <w:pPr>
        <w:pStyle w:val="2"/>
        <w:bidi w:val="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襄阳市中心医院万山分院院内采购项目采购文件</w:t>
      </w:r>
    </w:p>
    <w:p w14:paraId="3587D011">
      <w:pPr>
        <w:pStyle w:val="2"/>
        <w:numPr>
          <w:ilvl w:val="0"/>
          <w:numId w:val="1"/>
        </w:numPr>
        <w:bidi w:val="0"/>
        <w:ind w:left="0" w:leftChars="0" w:firstLine="402" w:firstLineChars="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采购公告（代采购邀请函）</w:t>
      </w:r>
    </w:p>
    <w:p w14:paraId="5E80617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襄阳市中心医院万山分院拟对如下项目进行采购，现发布本采购公告（代采购邀请函），欢迎符合条件且诚意合作的供应商报名参与。</w:t>
      </w:r>
    </w:p>
    <w:p w14:paraId="341E2FC9">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项目概述</w:t>
      </w:r>
    </w:p>
    <w:p w14:paraId="047C8AD8">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项目编码：</w:t>
      </w:r>
      <w:r>
        <w:rPr>
          <w:rFonts w:hint="eastAsia" w:ascii="微软雅黑" w:hAnsi="微软雅黑" w:eastAsia="微软雅黑" w:cs="微软雅黑"/>
          <w:b w:val="0"/>
          <w:bCs w:val="0"/>
          <w:color w:val="auto"/>
          <w:lang w:val="en-US" w:eastAsia="zh-CN"/>
        </w:rPr>
        <w:t>WSZHB20240004</w:t>
      </w:r>
    </w:p>
    <w:p w14:paraId="05A5F5E6">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项目名称：襄阳市中心医院万山分院2024年度保安外包服务</w:t>
      </w:r>
    </w:p>
    <w:p w14:paraId="0FA78BFE">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项目预算及最高限价：</w:t>
      </w:r>
      <w:r>
        <w:rPr>
          <w:rFonts w:hint="eastAsia" w:ascii="微软雅黑" w:hAnsi="微软雅黑" w:eastAsia="微软雅黑" w:cs="微软雅黑"/>
          <w:b w:val="0"/>
          <w:bCs w:val="0"/>
          <w:color w:val="auto"/>
          <w:u w:val="single"/>
          <w:lang w:val="en-US" w:eastAsia="zh-CN"/>
        </w:rPr>
        <w:t xml:space="preserve"> 252000 </w:t>
      </w:r>
      <w:r>
        <w:rPr>
          <w:rFonts w:hint="eastAsia" w:ascii="微软雅黑" w:hAnsi="微软雅黑" w:eastAsia="微软雅黑" w:cs="微软雅黑"/>
          <w:b w:val="0"/>
          <w:bCs w:val="0"/>
          <w:color w:val="auto"/>
          <w:u w:val="none"/>
          <w:lang w:val="en-US" w:eastAsia="zh-CN"/>
        </w:rPr>
        <w:t>元；</w:t>
      </w:r>
    </w:p>
    <w:p w14:paraId="68DDB9BA">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项目概述：采购需求：2024年度保安服务项目，具体内容详见采购文件第三章采购需求。</w:t>
      </w:r>
    </w:p>
    <w:p w14:paraId="1A2870FF">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合同履行期限</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eastAsia="zh-CN"/>
        </w:rPr>
        <w:t>一年</w:t>
      </w:r>
    </w:p>
    <w:p w14:paraId="4784A5B5">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color w:val="auto"/>
          <w:lang w:eastAsia="zh-CN"/>
        </w:rPr>
      </w:pPr>
      <w:r>
        <w:rPr>
          <w:rFonts w:hint="eastAsia" w:ascii="微软雅黑" w:hAnsi="微软雅黑" w:eastAsia="微软雅黑" w:cs="微软雅黑"/>
          <w:color w:val="auto"/>
          <w:sz w:val="21"/>
          <w:szCs w:val="21"/>
        </w:rPr>
        <w:t>本项目（是/否）接受联合体投标：否</w:t>
      </w:r>
    </w:p>
    <w:p w14:paraId="0966E66C">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color w:val="auto"/>
          <w:lang w:eastAsia="zh-CN"/>
        </w:rPr>
      </w:pPr>
      <w:r>
        <w:rPr>
          <w:rFonts w:hint="eastAsia" w:ascii="微软雅黑" w:hAnsi="微软雅黑" w:eastAsia="微软雅黑" w:cs="微软雅黑"/>
          <w:color w:val="auto"/>
          <w:sz w:val="21"/>
          <w:szCs w:val="21"/>
        </w:rPr>
        <w:t>是否可采购进口产品：否</w:t>
      </w:r>
    </w:p>
    <w:p w14:paraId="5143629A">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本项目（是/否）接受合同分包：否</w:t>
      </w:r>
    </w:p>
    <w:p w14:paraId="36BE3ED9">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本项目（是/否）专门面向中小微企业：是</w:t>
      </w:r>
    </w:p>
    <w:p w14:paraId="79F58C94">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rPr>
        <w:t>面向中小微企业的类型为：中小微企业</w:t>
      </w:r>
    </w:p>
    <w:p w14:paraId="04D6CE71">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供应商资格要求</w:t>
      </w:r>
    </w:p>
    <w:p w14:paraId="338E64F2">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sz w:val="21"/>
          <w:szCs w:val="21"/>
          <w:lang w:val="en-US" w:eastAsia="zh-CN"/>
        </w:rPr>
        <w:t>满足《中华人民共和国政府采购法》第二十二条规定，即：</w:t>
      </w:r>
      <w:r>
        <w:rPr>
          <w:rFonts w:hint="eastAsia" w:ascii="微软雅黑" w:hAnsi="微软雅黑" w:eastAsia="微软雅黑" w:cs="微软雅黑"/>
          <w:sz w:val="21"/>
          <w:szCs w:val="21"/>
          <w:lang w:val="en-US" w:eastAsia="zh-CN"/>
        </w:rPr>
        <w:t>（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3400936">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单位负责人为同一人或者存在直接控股、管理关系的不同投标人，不得参加本项目同一合同项下的采购活动。</w:t>
      </w:r>
    </w:p>
    <w:p w14:paraId="4F53E61E">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为本采购项目提供整体设计、规范编制或者项目管理、监理、检测等服务的，不得再参加本项目的其他招标采购活动。</w:t>
      </w:r>
    </w:p>
    <w:p w14:paraId="6D482E19">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未被列入失信被执行人、重大税收违法失信主体，未被列入政府采购严重违法失信行为记录名单。</w:t>
      </w:r>
    </w:p>
    <w:p w14:paraId="2CDD5049">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本项目特定资格要求：</w:t>
      </w:r>
    </w:p>
    <w:p w14:paraId="71D99312">
      <w:pPr>
        <w:pStyle w:val="11"/>
        <w:keepNext w:val="0"/>
        <w:keepLines w:val="0"/>
        <w:pageBreakBefore w:val="0"/>
        <w:kinsoku/>
        <w:wordWrap/>
        <w:overflowPunct/>
        <w:topLinePunct w:val="0"/>
        <w:bidi w:val="0"/>
        <w:spacing w:line="380" w:lineRule="exac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000000"/>
          <w:kern w:val="0"/>
          <w:sz w:val="21"/>
          <w:szCs w:val="21"/>
          <w:highlight w:val="none"/>
        </w:rPr>
        <w:t>投标人具备独立法人资格，具有有效的企业法人营业执照；</w:t>
      </w:r>
    </w:p>
    <w:p w14:paraId="732AA001">
      <w:pPr>
        <w:ind w:firstLine="420" w:firstLineChars="200"/>
        <w:rPr>
          <w:color w:val="auto"/>
          <w:spacing w:val="-6"/>
          <w:sz w:val="24"/>
        </w:rPr>
      </w:pP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kern w:val="0"/>
          <w:sz w:val="21"/>
          <w:szCs w:val="21"/>
          <w:highlight w:val="none"/>
        </w:rPr>
        <w:t>投标人</w:t>
      </w:r>
      <w:r>
        <w:rPr>
          <w:rFonts w:hint="eastAsia" w:ascii="微软雅黑" w:hAnsi="微软雅黑" w:eastAsia="微软雅黑" w:cs="微软雅黑"/>
          <w:color w:val="auto"/>
          <w:spacing w:val="-2"/>
          <w:sz w:val="21"/>
          <w:szCs w:val="21"/>
        </w:rPr>
        <w:t>具备有效的公安机关核发的保安服务许可证，非</w:t>
      </w:r>
      <w:r>
        <w:rPr>
          <w:rFonts w:hint="eastAsia" w:ascii="微软雅黑" w:hAnsi="微软雅黑" w:eastAsia="微软雅黑" w:cs="微软雅黑"/>
          <w:color w:val="auto"/>
          <w:spacing w:val="-2"/>
          <w:sz w:val="21"/>
          <w:szCs w:val="21"/>
          <w:lang w:eastAsia="zh-CN"/>
        </w:rPr>
        <w:t>襄阳市</w:t>
      </w:r>
      <w:r>
        <w:rPr>
          <w:rFonts w:hint="eastAsia" w:ascii="微软雅黑" w:hAnsi="微软雅黑" w:eastAsia="微软雅黑" w:cs="微软雅黑"/>
          <w:color w:val="auto"/>
          <w:spacing w:val="-2"/>
          <w:sz w:val="21"/>
          <w:szCs w:val="21"/>
        </w:rPr>
        <w:t>单位须在</w:t>
      </w:r>
      <w:r>
        <w:rPr>
          <w:rFonts w:hint="eastAsia" w:ascii="微软雅黑" w:hAnsi="微软雅黑" w:eastAsia="微软雅黑" w:cs="微软雅黑"/>
          <w:color w:val="auto"/>
          <w:spacing w:val="-2"/>
          <w:sz w:val="21"/>
          <w:szCs w:val="21"/>
          <w:lang w:eastAsia="zh-CN"/>
        </w:rPr>
        <w:t>襄阳市</w:t>
      </w:r>
      <w:r>
        <w:rPr>
          <w:rFonts w:hint="eastAsia" w:ascii="微软雅黑" w:hAnsi="微软雅黑" w:eastAsia="微软雅黑" w:cs="微软雅黑"/>
          <w:color w:val="auto"/>
          <w:spacing w:val="-2"/>
          <w:sz w:val="21"/>
          <w:szCs w:val="21"/>
        </w:rPr>
        <w:t>公安机关</w:t>
      </w:r>
      <w:r>
        <w:rPr>
          <w:rFonts w:hint="eastAsia" w:ascii="微软雅黑" w:hAnsi="微软雅黑" w:eastAsia="微软雅黑" w:cs="微软雅黑"/>
          <w:color w:val="auto"/>
          <w:spacing w:val="-6"/>
          <w:sz w:val="21"/>
          <w:szCs w:val="21"/>
        </w:rPr>
        <w:t>备案</w:t>
      </w:r>
      <w:r>
        <w:rPr>
          <w:color w:val="auto"/>
          <w:spacing w:val="-6"/>
          <w:sz w:val="24"/>
        </w:rPr>
        <w:t>；</w:t>
      </w:r>
    </w:p>
    <w:p w14:paraId="6720ED2F">
      <w:pPr>
        <w:spacing w:line="360" w:lineRule="auto"/>
        <w:ind w:firstLine="420" w:firstLineChars="2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b w:val="0"/>
          <w:bCs w:val="0"/>
          <w:i w:val="0"/>
          <w:iCs w:val="0"/>
          <w:color w:val="000000"/>
          <w:kern w:val="2"/>
          <w:sz w:val="21"/>
          <w:szCs w:val="21"/>
          <w:highlight w:val="none"/>
          <w:lang w:val="en-US" w:eastAsia="zh-CN" w:bidi="ar-SA"/>
        </w:rPr>
        <w:t>投标人参加本次院内采购活动前三年内在经营活动中无重大违法记录的书面声明</w:t>
      </w:r>
      <w:r>
        <w:rPr>
          <w:rFonts w:hint="eastAsia" w:ascii="宋体" w:hAnsi="宋体" w:eastAsia="宋体" w:cs="宋体"/>
          <w:b w:val="0"/>
          <w:bCs w:val="0"/>
          <w:i w:val="0"/>
          <w:iCs w:val="0"/>
          <w:color w:val="000000"/>
          <w:kern w:val="2"/>
          <w:sz w:val="24"/>
          <w:szCs w:val="24"/>
          <w:highlight w:val="none"/>
          <w:lang w:val="en-US" w:eastAsia="zh-CN" w:bidi="ar-SA"/>
        </w:rPr>
        <w:t>；</w:t>
      </w:r>
    </w:p>
    <w:p w14:paraId="515C6B78">
      <w:pPr>
        <w:pStyle w:val="11"/>
        <w:keepNext w:val="0"/>
        <w:keepLines w:val="0"/>
        <w:pageBreakBefore w:val="0"/>
        <w:kinsoku/>
        <w:wordWrap/>
        <w:overflowPunct/>
        <w:topLinePunct w:val="0"/>
        <w:bidi w:val="0"/>
        <w:spacing w:line="380" w:lineRule="exac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b w:val="0"/>
          <w:bCs w:val="0"/>
          <w:caps/>
          <w:color w:val="000000"/>
          <w:kern w:val="0"/>
          <w:sz w:val="21"/>
          <w:szCs w:val="21"/>
          <w:highlight w:val="none"/>
          <w:shd w:val="clear" w:color="auto" w:fill="auto"/>
        </w:rPr>
        <w:t>投标人在最高</w:t>
      </w:r>
      <w:r>
        <w:rPr>
          <w:rFonts w:hint="eastAsia" w:ascii="微软雅黑" w:hAnsi="微软雅黑" w:eastAsia="微软雅黑" w:cs="微软雅黑"/>
          <w:b w:val="0"/>
          <w:bCs w:val="0"/>
          <w:caps/>
          <w:color w:val="000000"/>
          <w:kern w:val="0"/>
          <w:sz w:val="21"/>
          <w:szCs w:val="21"/>
          <w:highlight w:val="none"/>
          <w:shd w:val="clear" w:color="auto" w:fill="auto"/>
          <w:lang w:eastAsia="zh-CN"/>
        </w:rPr>
        <w:t>人民</w:t>
      </w:r>
      <w:r>
        <w:rPr>
          <w:rFonts w:hint="eastAsia" w:ascii="微软雅黑" w:hAnsi="微软雅黑" w:eastAsia="微软雅黑" w:cs="微软雅黑"/>
          <w:b w:val="0"/>
          <w:bCs w:val="0"/>
          <w:caps/>
          <w:color w:val="000000"/>
          <w:kern w:val="0"/>
          <w:sz w:val="21"/>
          <w:szCs w:val="21"/>
          <w:highlight w:val="none"/>
          <w:shd w:val="clear" w:color="auto" w:fill="auto"/>
        </w:rPr>
        <w:t>法院失信被执行人信息库中未被列为失信被执行人，未被列入重大税收违法案件当事人名单、政府采购严重违法失信行为记录名单及无其他不符合《中华人民共和国政府采购法》第二十二条规定的条件</w:t>
      </w:r>
      <w:r>
        <w:rPr>
          <w:rFonts w:hint="eastAsia" w:ascii="微软雅黑" w:hAnsi="微软雅黑" w:eastAsia="微软雅黑" w:cs="微软雅黑"/>
          <w:b w:val="0"/>
          <w:bCs w:val="0"/>
          <w:caps/>
          <w:color w:val="000000"/>
          <w:kern w:val="0"/>
          <w:sz w:val="21"/>
          <w:szCs w:val="21"/>
          <w:highlight w:val="none"/>
          <w:shd w:val="clear" w:color="auto" w:fill="auto"/>
          <w:lang w:eastAsia="zh-CN"/>
        </w:rPr>
        <w:t>。</w:t>
      </w:r>
    </w:p>
    <w:p w14:paraId="3B436C5A">
      <w:pPr>
        <w:pStyle w:val="11"/>
        <w:keepNext w:val="0"/>
        <w:keepLines w:val="0"/>
        <w:pageBreakBefore w:val="0"/>
        <w:kinsoku/>
        <w:wordWrap/>
        <w:overflowPunct/>
        <w:topLinePunct w:val="0"/>
        <w:bidi w:val="0"/>
        <w:spacing w:line="380" w:lineRule="exac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b w:val="0"/>
          <w:bCs w:val="0"/>
          <w:i w:val="0"/>
          <w:iCs w:val="0"/>
          <w:color w:val="000000"/>
          <w:kern w:val="2"/>
          <w:sz w:val="21"/>
          <w:szCs w:val="21"/>
          <w:highlight w:val="none"/>
          <w:lang w:val="en-US" w:eastAsia="zh-CN" w:bidi="ar-SA"/>
        </w:rPr>
        <w:t>本次招标不接受联合体投标</w:t>
      </w:r>
      <w:r>
        <w:rPr>
          <w:rFonts w:hint="eastAsia" w:ascii="微软雅黑" w:hAnsi="微软雅黑" w:eastAsia="微软雅黑" w:cs="微软雅黑"/>
          <w:color w:val="auto"/>
          <w:sz w:val="21"/>
          <w:szCs w:val="21"/>
          <w:lang w:val="en-US" w:eastAsia="zh-CN"/>
        </w:rPr>
        <w:t>。</w:t>
      </w:r>
    </w:p>
    <w:p w14:paraId="08D6D8EF">
      <w:pPr>
        <w:pStyle w:val="11"/>
        <w:keepNext w:val="0"/>
        <w:keepLines w:val="0"/>
        <w:pageBreakBefore w:val="0"/>
        <w:kinsoku/>
        <w:wordWrap/>
        <w:overflowPunct/>
        <w:topLinePunct w:val="0"/>
        <w:bidi w:val="0"/>
        <w:spacing w:line="380" w:lineRule="exact"/>
        <w:textAlignment w:val="auto"/>
        <w:rPr>
          <w:rFonts w:hint="eastAsia"/>
          <w:lang w:val="en-US" w:eastAsia="zh-CN"/>
        </w:rPr>
      </w:pP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b w:val="0"/>
          <w:bCs w:val="0"/>
          <w:i w:val="0"/>
          <w:iCs w:val="0"/>
          <w:color w:val="000000"/>
          <w:kern w:val="2"/>
          <w:sz w:val="21"/>
          <w:szCs w:val="21"/>
          <w:highlight w:val="none"/>
          <w:lang w:val="en-US" w:eastAsia="zh-CN" w:bidi="ar-SA"/>
        </w:rPr>
        <w:t>本项目招标采用资格后审</w:t>
      </w:r>
      <w:r>
        <w:rPr>
          <w:rFonts w:hint="eastAsia" w:ascii="微软雅黑" w:hAnsi="微软雅黑" w:eastAsia="微软雅黑" w:cs="微软雅黑"/>
          <w:color w:val="auto"/>
          <w:sz w:val="21"/>
          <w:szCs w:val="21"/>
          <w:lang w:val="en-US" w:eastAsia="zh-CN"/>
        </w:rPr>
        <w:t>。</w:t>
      </w:r>
    </w:p>
    <w:p w14:paraId="58942DB5">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供应商报名须知</w:t>
      </w:r>
    </w:p>
    <w:p w14:paraId="79324A26">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报名时间：2024年7月30日8时00分起至2024年8月6日17时30分止。（逾期不予接收）</w:t>
      </w:r>
    </w:p>
    <w:p w14:paraId="0C63D3DF">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报名方式及注意事项：</w:t>
      </w:r>
    </w:p>
    <w:p w14:paraId="5ACDB448">
      <w:pPr>
        <w:keepNext w:val="0"/>
        <w:keepLines w:val="0"/>
        <w:pageBreakBefore w:val="0"/>
        <w:widowControl w:val="0"/>
        <w:numPr>
          <w:ilvl w:val="3"/>
          <w:numId w:val="0"/>
        </w:numPr>
        <w:kinsoku/>
        <w:wordWrap/>
        <w:overflowPunct/>
        <w:topLinePunct w:val="0"/>
        <w:autoSpaceDE/>
        <w:autoSpaceDN/>
        <w:bidi w:val="0"/>
        <w:adjustRightInd/>
        <w:snapToGrid/>
        <w:spacing w:line="38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kern w:val="2"/>
          <w:sz w:val="21"/>
          <w:szCs w:val="24"/>
          <w:lang w:val="en-US" w:eastAsia="zh-CN" w:bidi="ar-SA"/>
        </w:rPr>
        <w:t>（1）</w:t>
      </w:r>
      <w:r>
        <w:rPr>
          <w:rFonts w:hint="eastAsia" w:ascii="微软雅黑" w:hAnsi="微软雅黑" w:eastAsia="微软雅黑" w:cs="微软雅黑"/>
          <w:b w:val="0"/>
          <w:bCs w:val="0"/>
          <w:color w:val="auto"/>
          <w:lang w:val="en-US" w:eastAsia="zh-CN"/>
        </w:rPr>
        <w:t>现场报名。请供应商将报名资料盖章后交至综合办。</w:t>
      </w:r>
    </w:p>
    <w:p w14:paraId="2D8C986D">
      <w:pPr>
        <w:keepNext w:val="0"/>
        <w:keepLines w:val="0"/>
        <w:pageBreakBefore w:val="0"/>
        <w:widowControl w:val="0"/>
        <w:numPr>
          <w:ilvl w:val="3"/>
          <w:numId w:val="0"/>
        </w:numPr>
        <w:kinsoku/>
        <w:wordWrap/>
        <w:overflowPunct/>
        <w:topLinePunct w:val="0"/>
        <w:autoSpaceDE/>
        <w:autoSpaceDN/>
        <w:bidi w:val="0"/>
        <w:adjustRightInd/>
        <w:snapToGrid/>
        <w:spacing w:line="38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kern w:val="2"/>
          <w:sz w:val="21"/>
          <w:szCs w:val="24"/>
          <w:lang w:val="en-US" w:eastAsia="zh-CN" w:bidi="ar-SA"/>
        </w:rPr>
        <w:t>（2）</w:t>
      </w:r>
      <w:r>
        <w:rPr>
          <w:rFonts w:hint="eastAsia" w:ascii="微软雅黑" w:hAnsi="微软雅黑" w:eastAsia="微软雅黑" w:cs="微软雅黑"/>
          <w:b w:val="0"/>
          <w:bCs w:val="0"/>
          <w:color w:val="auto"/>
          <w:lang w:val="en-US" w:eastAsia="zh-CN"/>
        </w:rPr>
        <w:t>注意事项：</w:t>
      </w:r>
    </w:p>
    <w:p w14:paraId="4BE2877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02" w:leftChars="0" w:firstLine="420" w:firstLineChars="200"/>
        <w:jc w:val="left"/>
        <w:textAlignment w:val="auto"/>
        <w:rPr>
          <w:rFonts w:hint="eastAsia" w:ascii="微软雅黑" w:hAnsi="微软雅黑" w:eastAsia="微软雅黑" w:cs="微软雅黑"/>
          <w:b w:val="0"/>
          <w:bCs w:val="0"/>
          <w:color w:val="FF0000"/>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①供应商下载并填写附件“供应商报名资料模板”，资料加盖公章。②供应商下载并填写附件“供应商报名登记表”，以表格形式提交。</w:t>
      </w:r>
    </w:p>
    <w:p w14:paraId="566792BB">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供应商投标须知</w:t>
      </w:r>
    </w:p>
    <w:p w14:paraId="7AEE3F5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1.开标及递交文件截止时间：开标当日上午9:00或下午15:00，具体以采购人电话通知时间为准（0710-3562669）</w:t>
      </w:r>
    </w:p>
    <w:p w14:paraId="3FD4C33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2.递交响应文件注意事项：</w:t>
      </w:r>
    </w:p>
    <w:p w14:paraId="5DB7EBA2">
      <w:pPr>
        <w:keepNext w:val="0"/>
        <w:keepLines w:val="0"/>
        <w:pageBreakBefore w:val="0"/>
        <w:widowControl w:val="0"/>
        <w:numPr>
          <w:ilvl w:val="3"/>
          <w:numId w:val="0"/>
        </w:numPr>
        <w:kinsoku/>
        <w:wordWrap/>
        <w:overflowPunct/>
        <w:topLinePunct w:val="0"/>
        <w:autoSpaceDE/>
        <w:autoSpaceDN/>
        <w:bidi w:val="0"/>
        <w:adjustRightInd/>
        <w:snapToGrid/>
        <w:spacing w:line="38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kern w:val="2"/>
          <w:sz w:val="21"/>
          <w:szCs w:val="24"/>
          <w:lang w:val="en-US" w:eastAsia="zh-CN" w:bidi="ar-SA"/>
        </w:rPr>
        <w:t>（1）</w:t>
      </w:r>
      <w:r>
        <w:rPr>
          <w:rFonts w:hint="eastAsia" w:ascii="微软雅黑" w:hAnsi="微软雅黑" w:eastAsia="微软雅黑" w:cs="微软雅黑"/>
          <w:b w:val="0"/>
          <w:bCs w:val="0"/>
          <w:color w:val="auto"/>
          <w:lang w:val="en-US" w:eastAsia="zh-CN"/>
        </w:rPr>
        <w:t>现场递交：供应商接到会议通知后，在通知的截止时间前将响应文件递交至会议通知的指定地点。供应商参会代表应同时携带身份证原件、法定代表人身份证明书或法定代表人授权委托书、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14:paraId="057F77B7">
      <w:pPr>
        <w:keepNext w:val="0"/>
        <w:keepLines w:val="0"/>
        <w:pageBreakBefore w:val="0"/>
        <w:widowControl w:val="0"/>
        <w:numPr>
          <w:ilvl w:val="3"/>
          <w:numId w:val="0"/>
        </w:numPr>
        <w:kinsoku/>
        <w:wordWrap/>
        <w:overflowPunct/>
        <w:topLinePunct w:val="0"/>
        <w:autoSpaceDE/>
        <w:autoSpaceDN/>
        <w:bidi w:val="0"/>
        <w:adjustRightInd/>
        <w:snapToGrid/>
        <w:spacing w:line="38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kern w:val="2"/>
          <w:sz w:val="21"/>
          <w:szCs w:val="24"/>
          <w:lang w:val="en-US" w:eastAsia="zh-CN" w:bidi="ar-SA"/>
        </w:rPr>
        <w:t>（2）</w:t>
      </w:r>
      <w:r>
        <w:rPr>
          <w:rFonts w:hint="eastAsia" w:ascii="微软雅黑" w:hAnsi="微软雅黑" w:eastAsia="微软雅黑" w:cs="微软雅黑"/>
          <w:b w:val="0"/>
          <w:bCs w:val="0"/>
          <w:color w:val="auto"/>
          <w:lang w:val="en-US" w:eastAsia="zh-CN"/>
        </w:rPr>
        <w:t>开标地点：襄阳市中心医院万山分院行政办公区1楼会议室。（暂定，如有更改，采购人会以电话0710-3562669通知）</w:t>
      </w:r>
    </w:p>
    <w:p w14:paraId="5E328F55">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供应商其他注意事项</w:t>
      </w:r>
    </w:p>
    <w:p w14:paraId="70776EBF">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14:paraId="62EE7111">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要求提供样品的项目，供应商必须与响应文件一同提交样品，否则视为弃权。</w:t>
      </w:r>
    </w:p>
    <w:p w14:paraId="56C38804">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14:paraId="1651716A">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联系方式</w:t>
      </w:r>
    </w:p>
    <w:p w14:paraId="096B8D3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03"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襄阳市中心医院万山分院综合办</w:t>
      </w:r>
    </w:p>
    <w:p w14:paraId="093EEFE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03"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地址：襄阳市中心医院万山分院门诊楼四楼</w:t>
      </w:r>
    </w:p>
    <w:p w14:paraId="7F8788E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03"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联系电话：0710-3562669</w:t>
      </w:r>
    </w:p>
    <w:p w14:paraId="09B7D8C5">
      <w:pPr>
        <w:ind w:firstLine="420" w:firstLineChars="200"/>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联系人：赵老师</w:t>
      </w:r>
    </w:p>
    <w:p w14:paraId="24BBAE79">
      <w:pPr>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br w:type="page"/>
      </w:r>
    </w:p>
    <w:p w14:paraId="40C00F24">
      <w:pPr>
        <w:pStyle w:val="2"/>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供应商须知</w:t>
      </w:r>
    </w:p>
    <w:p w14:paraId="1A277473">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供应商应严格按照本采购文件及须知要求进行响应，否则采购人有权否决</w:t>
      </w:r>
    </w:p>
    <w:tbl>
      <w:tblPr>
        <w:tblStyle w:val="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14:paraId="688D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14:paraId="758F24D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序号</w:t>
            </w:r>
          </w:p>
        </w:tc>
        <w:tc>
          <w:tcPr>
            <w:tcW w:w="1398" w:type="dxa"/>
          </w:tcPr>
          <w:p w14:paraId="26EFEFA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条款名称</w:t>
            </w:r>
          </w:p>
        </w:tc>
        <w:tc>
          <w:tcPr>
            <w:tcW w:w="6705" w:type="dxa"/>
          </w:tcPr>
          <w:p w14:paraId="7418B4B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编列内容</w:t>
            </w:r>
          </w:p>
        </w:tc>
      </w:tr>
      <w:tr w14:paraId="3B7D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5BC82356">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14:paraId="31C7A95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采购人</w:t>
            </w:r>
          </w:p>
        </w:tc>
        <w:tc>
          <w:tcPr>
            <w:tcW w:w="6705" w:type="dxa"/>
            <w:vAlign w:val="center"/>
          </w:tcPr>
          <w:p w14:paraId="2BCA7C8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襄阳市中心医院万山分院</w:t>
            </w:r>
          </w:p>
        </w:tc>
      </w:tr>
      <w:tr w14:paraId="7B35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28FBFB84">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14:paraId="7C741FD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w:t>
            </w:r>
          </w:p>
        </w:tc>
        <w:tc>
          <w:tcPr>
            <w:tcW w:w="6705" w:type="dxa"/>
            <w:vAlign w:val="center"/>
          </w:tcPr>
          <w:p w14:paraId="04CB59E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资格要求：符合本文件公告规定</w:t>
            </w:r>
          </w:p>
        </w:tc>
      </w:tr>
      <w:tr w14:paraId="6117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04446634">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14:paraId="79EA08B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响应文件装订要求</w:t>
            </w:r>
          </w:p>
        </w:tc>
        <w:tc>
          <w:tcPr>
            <w:tcW w:w="6705" w:type="dxa"/>
            <w:vAlign w:val="center"/>
          </w:tcPr>
          <w:p w14:paraId="76B9D52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必须提供装订成册一式五套的响应文件（含一正四副），并进行密封。</w:t>
            </w:r>
          </w:p>
        </w:tc>
      </w:tr>
      <w:tr w14:paraId="411D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28B3CBB5">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14:paraId="3221BC1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响应文件编列要求</w:t>
            </w:r>
          </w:p>
        </w:tc>
        <w:tc>
          <w:tcPr>
            <w:tcW w:w="6705" w:type="dxa"/>
            <w:vAlign w:val="center"/>
          </w:tcPr>
          <w:p w14:paraId="3B574F3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见响应文件格式，格式中有具体要求的，供应商必须响应，否则可能导致响应文件被拒绝。</w:t>
            </w:r>
          </w:p>
        </w:tc>
      </w:tr>
      <w:tr w14:paraId="6E94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7A6B3C05">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14:paraId="368FEC6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响应文件有效期</w:t>
            </w:r>
          </w:p>
        </w:tc>
        <w:tc>
          <w:tcPr>
            <w:tcW w:w="6705" w:type="dxa"/>
            <w:vAlign w:val="center"/>
          </w:tcPr>
          <w:p w14:paraId="4AF5AC0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不少于90日历天</w:t>
            </w:r>
          </w:p>
        </w:tc>
      </w:tr>
      <w:tr w14:paraId="750B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49002AF7">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14:paraId="15F1710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采购方式</w:t>
            </w:r>
          </w:p>
        </w:tc>
        <w:tc>
          <w:tcPr>
            <w:tcW w:w="6705" w:type="dxa"/>
            <w:vAlign w:val="center"/>
          </w:tcPr>
          <w:p w14:paraId="3699406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14:paraId="356B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5CBB4CF8">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14:paraId="5C8B506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项目类型</w:t>
            </w:r>
          </w:p>
        </w:tc>
        <w:tc>
          <w:tcPr>
            <w:tcW w:w="6705" w:type="dxa"/>
            <w:vAlign w:val="center"/>
          </w:tcPr>
          <w:p w14:paraId="27ED9D5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货物：是指各种形态和种类的物品，包括原材料、燃料、设备、产品等。</w:t>
            </w:r>
          </w:p>
          <w:p w14:paraId="6A7AE57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工程：是指建设工程，包括建筑物和构筑物的新建、改建、扩建、装修、拆除、修缮等。</w:t>
            </w:r>
          </w:p>
          <w:p w14:paraId="110C94B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服务：是指除货物和工程以外的其他采购对象。</w:t>
            </w:r>
          </w:p>
        </w:tc>
      </w:tr>
      <w:tr w14:paraId="78C8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53B3CF5F">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14:paraId="0740B23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样品</w:t>
            </w:r>
          </w:p>
        </w:tc>
        <w:tc>
          <w:tcPr>
            <w:tcW w:w="6705" w:type="dxa"/>
            <w:vAlign w:val="center"/>
          </w:tcPr>
          <w:p w14:paraId="3550753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需要提交；</w:t>
            </w: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不需要提交；</w:t>
            </w:r>
          </w:p>
          <w:p w14:paraId="7F0437B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auto"/>
                <w:lang w:val="en-US" w:eastAsia="zh-CN"/>
              </w:rPr>
            </w:pPr>
            <w:r>
              <w:rPr>
                <w:rFonts w:hint="eastAsia" w:ascii="微软雅黑" w:hAnsi="微软雅黑" w:eastAsia="微软雅黑" w:cs="微软雅黑"/>
                <w:color w:val="auto"/>
                <w:sz w:val="21"/>
                <w:szCs w:val="21"/>
                <w:vertAlign w:val="baseline"/>
                <w:lang w:val="en-US" w:eastAsia="zh-CN"/>
              </w:rPr>
              <w:t>样品要求：</w:t>
            </w:r>
          </w:p>
        </w:tc>
      </w:tr>
      <w:tr w14:paraId="4CF3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4A998E1B">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14:paraId="6AA0848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定标办法</w:t>
            </w:r>
          </w:p>
        </w:tc>
        <w:tc>
          <w:tcPr>
            <w:tcW w:w="6705" w:type="dxa"/>
            <w:vAlign w:val="center"/>
          </w:tcPr>
          <w:p w14:paraId="51ED559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综合评价；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最低价；</w:t>
            </w:r>
          </w:p>
          <w:p w14:paraId="39EDCA2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其他：</w:t>
            </w:r>
          </w:p>
        </w:tc>
      </w:tr>
      <w:tr w14:paraId="4E6C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20043062">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14:paraId="120579F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澄清答疑</w:t>
            </w:r>
          </w:p>
        </w:tc>
        <w:tc>
          <w:tcPr>
            <w:tcW w:w="6705" w:type="dxa"/>
            <w:vAlign w:val="center"/>
          </w:tcPr>
          <w:p w14:paraId="1DB3BD9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供应商对采购文件如有需要澄清的疑问，均应以书面形式在报名截止时间之后1个工作日内通知采购人，</w:t>
            </w:r>
            <w:r>
              <w:rPr>
                <w:rFonts w:hint="eastAsia" w:ascii="微软雅黑" w:hAnsi="微软雅黑" w:eastAsia="微软雅黑" w:cs="微软雅黑"/>
                <w:b w:val="0"/>
                <w:bCs w:val="0"/>
                <w:i w:val="0"/>
                <w:iCs w:val="0"/>
                <w:caps w:val="0"/>
                <w:color w:val="000000"/>
                <w:spacing w:val="0"/>
                <w:kern w:val="0"/>
                <w:sz w:val="21"/>
                <w:szCs w:val="21"/>
                <w:shd w:val="clear" w:color="auto" w:fill="FFFFFF"/>
                <w:lang w:val="en-US" w:eastAsia="zh-CN" w:bidi="ar"/>
              </w:rPr>
              <w:t>采购方将组织对供应商所要求澄清的内容均以书面形式予以答复。</w:t>
            </w:r>
          </w:p>
        </w:tc>
      </w:tr>
      <w:tr w14:paraId="00F6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424C4AAC">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14:paraId="446B6A9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签字盖章要求</w:t>
            </w:r>
          </w:p>
        </w:tc>
        <w:tc>
          <w:tcPr>
            <w:tcW w:w="6705" w:type="dxa"/>
            <w:vAlign w:val="center"/>
          </w:tcPr>
          <w:p w14:paraId="31102D6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供应商应在所有格式要求应加盖公章处加盖供应商单位公章，在所有格式要求应加盖法定代表人章或法定代表人签字处加盖法定代表人章或签字。</w:t>
            </w:r>
          </w:p>
        </w:tc>
      </w:tr>
      <w:tr w14:paraId="5A70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7712CA31">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14:paraId="7015626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报价要求</w:t>
            </w:r>
          </w:p>
        </w:tc>
        <w:tc>
          <w:tcPr>
            <w:tcW w:w="6705" w:type="dxa"/>
            <w:vAlign w:val="center"/>
          </w:tcPr>
          <w:p w14:paraId="64C0E96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以人民币进行报价。</w:t>
            </w:r>
          </w:p>
          <w:p w14:paraId="62723B3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报价内容应符合采购文件规定，以经书面确认的最终报价确定合同价格。</w:t>
            </w:r>
          </w:p>
        </w:tc>
      </w:tr>
      <w:tr w14:paraId="1E91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79D830EB">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14:paraId="4E99652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解释权</w:t>
            </w:r>
          </w:p>
        </w:tc>
        <w:tc>
          <w:tcPr>
            <w:tcW w:w="6705" w:type="dxa"/>
            <w:vAlign w:val="center"/>
          </w:tcPr>
          <w:p w14:paraId="0E8D6ED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本采购文件解释权归襄阳市中心医院万山分院所有</w:t>
            </w:r>
          </w:p>
        </w:tc>
      </w:tr>
      <w:tr w14:paraId="313A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2E7DA3F6">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14:paraId="764D36A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质疑投诉</w:t>
            </w:r>
          </w:p>
        </w:tc>
        <w:tc>
          <w:tcPr>
            <w:tcW w:w="6705" w:type="dxa"/>
            <w:vAlign w:val="center"/>
          </w:tcPr>
          <w:p w14:paraId="3989A41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若供应商认为采购过程和中标结果使自己的合法权益受到损害，可在项目结果公示期内以书面形式向采购人提出质疑并要求答复，但答复的内容不得涉及商业秘密。</w:t>
            </w:r>
          </w:p>
          <w:p w14:paraId="5FC220B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质疑供应商对采购人的答复不满意，可在答复后15个工作日内向医院纪检（监察）办公室（0710-3561801）投诉。</w:t>
            </w:r>
          </w:p>
        </w:tc>
      </w:tr>
      <w:tr w14:paraId="5747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1A7E45DF">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14:paraId="07C9C69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合同授予</w:t>
            </w:r>
          </w:p>
        </w:tc>
        <w:tc>
          <w:tcPr>
            <w:tcW w:w="6705" w:type="dxa"/>
            <w:vAlign w:val="center"/>
          </w:tcPr>
          <w:p w14:paraId="22E8828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本文件不作为合同授予的唯一依据</w:t>
            </w:r>
          </w:p>
        </w:tc>
      </w:tr>
      <w:tr w14:paraId="1ACC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44E6D54C">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14:paraId="55C5131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705" w:type="dxa"/>
            <w:vAlign w:val="center"/>
          </w:tcPr>
          <w:p w14:paraId="46F292F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交至综合办公室（格式详见附件），否则，将会被列入我院失信供应商名单，直接影响后续各项目的参与。请各位供应商本着诚实守信、互相尊重的原则，诚意参与我院各项目的采购。</w:t>
            </w:r>
          </w:p>
        </w:tc>
      </w:tr>
      <w:tr w14:paraId="430A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099D7608">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14:paraId="448E151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705" w:type="dxa"/>
            <w:vAlign w:val="center"/>
          </w:tcPr>
          <w:p w14:paraId="5CFDDA3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是；</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否；</w:t>
            </w:r>
          </w:p>
        </w:tc>
      </w:tr>
      <w:tr w14:paraId="4CD3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27679AA5">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14:paraId="330366D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705" w:type="dxa"/>
            <w:vAlign w:val="center"/>
          </w:tcPr>
          <w:p w14:paraId="260F4D5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无</w:t>
            </w:r>
          </w:p>
        </w:tc>
      </w:tr>
    </w:tbl>
    <w:p w14:paraId="2CEC199E">
      <w:pPr>
        <w:rPr>
          <w:rFonts w:hint="default" w:ascii="微软雅黑" w:hAnsi="微软雅黑" w:eastAsia="微软雅黑" w:cs="微软雅黑"/>
          <w:b w:val="0"/>
          <w:bCs w:val="0"/>
          <w:sz w:val="21"/>
          <w:szCs w:val="21"/>
          <w:lang w:val="en-US" w:eastAsia="zh-CN"/>
        </w:rPr>
      </w:pPr>
      <w:r>
        <w:rPr>
          <w:rFonts w:hint="default" w:ascii="微软雅黑" w:hAnsi="微软雅黑" w:eastAsia="微软雅黑" w:cs="微软雅黑"/>
          <w:b w:val="0"/>
          <w:bCs w:val="0"/>
          <w:sz w:val="21"/>
          <w:szCs w:val="21"/>
          <w:lang w:val="en-US" w:eastAsia="zh-CN"/>
        </w:rPr>
        <w:br w:type="page"/>
      </w:r>
    </w:p>
    <w:p w14:paraId="41B82AD2">
      <w:pPr>
        <w:pStyle w:val="2"/>
        <w:numPr>
          <w:ilvl w:val="0"/>
          <w:numId w:val="1"/>
        </w:numPr>
        <w:bidi w:val="0"/>
        <w:ind w:left="0" w:leftChars="0" w:firstLine="402" w:firstLineChars="0"/>
        <w:jc w:val="center"/>
        <w:rPr>
          <w:rFonts w:hint="default" w:ascii="微软雅黑" w:hAnsi="微软雅黑" w:eastAsia="微软雅黑" w:cs="微软雅黑"/>
          <w:b/>
          <w:color w:val="0070C0"/>
          <w:sz w:val="32"/>
          <w:szCs w:val="24"/>
          <w:lang w:val="en-US" w:eastAsia="zh-CN"/>
        </w:rPr>
      </w:pPr>
      <w:r>
        <w:rPr>
          <w:rFonts w:hint="eastAsia" w:ascii="微软雅黑" w:hAnsi="微软雅黑" w:eastAsia="微软雅黑" w:cs="微软雅黑"/>
          <w:b/>
          <w:color w:val="0070C0"/>
          <w:sz w:val="32"/>
          <w:szCs w:val="24"/>
          <w:lang w:val="en-US" w:eastAsia="zh-CN"/>
        </w:rPr>
        <w:t>采购需求 （本章按项目情况编制）</w:t>
      </w:r>
    </w:p>
    <w:p w14:paraId="6507AB7E">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2E75B6" w:themeColor="accent1" w:themeShade="BF"/>
          <w:sz w:val="24"/>
          <w:szCs w:val="24"/>
          <w:lang w:val="en-US" w:eastAsia="zh-CN"/>
        </w:rPr>
      </w:pPr>
      <w:r>
        <w:rPr>
          <w:rFonts w:hint="eastAsia" w:ascii="微软雅黑" w:hAnsi="微软雅黑" w:eastAsia="微软雅黑" w:cs="微软雅黑"/>
          <w:b/>
          <w:bCs/>
          <w:color w:val="2E75B6" w:themeColor="accent1" w:themeShade="BF"/>
          <w:sz w:val="21"/>
          <w:szCs w:val="21"/>
          <w:lang w:val="en-US" w:eastAsia="zh-CN"/>
        </w:rPr>
        <w:t>采购清单</w:t>
      </w:r>
    </w:p>
    <w:p w14:paraId="6706E15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微软雅黑" w:hAnsi="微软雅黑" w:eastAsia="微软雅黑" w:cs="微软雅黑"/>
          <w:b/>
          <w:bCs/>
          <w:color w:val="2E75B6" w:themeColor="accent1" w:themeShade="BF"/>
          <w:sz w:val="24"/>
          <w:szCs w:val="24"/>
          <w:lang w:val="en-US" w:eastAsia="zh-CN"/>
        </w:rPr>
      </w:pPr>
      <w:r>
        <w:rPr>
          <w:rFonts w:hint="eastAsia" w:ascii="微软雅黑" w:hAnsi="微软雅黑" w:eastAsia="微软雅黑" w:cs="微软雅黑"/>
          <w:b/>
          <w:bCs/>
          <w:color w:val="2E75B6" w:themeColor="accent1" w:themeShade="BF"/>
          <w:sz w:val="24"/>
          <w:szCs w:val="24"/>
          <w:lang w:val="en-US" w:eastAsia="zh-CN"/>
        </w:rPr>
        <w:t>1、交通管理岗：负责院内车辆管理及院门口交通疏导。</w:t>
      </w:r>
    </w:p>
    <w:p w14:paraId="1BBF912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微软雅黑" w:hAnsi="微软雅黑" w:eastAsia="微软雅黑" w:cs="微软雅黑"/>
          <w:b/>
          <w:bCs/>
          <w:color w:val="2E75B6" w:themeColor="accent1" w:themeShade="BF"/>
          <w:sz w:val="21"/>
          <w:szCs w:val="21"/>
          <w:lang w:val="en-US" w:eastAsia="zh-CN"/>
        </w:rPr>
      </w:pPr>
      <w:r>
        <w:rPr>
          <w:rFonts w:hint="eastAsia" w:ascii="微软雅黑" w:hAnsi="微软雅黑" w:eastAsia="微软雅黑" w:cs="微软雅黑"/>
          <w:b/>
          <w:bCs/>
          <w:color w:val="2E75B6" w:themeColor="accent1" w:themeShade="BF"/>
          <w:sz w:val="24"/>
          <w:szCs w:val="24"/>
          <w:lang w:val="en-US" w:eastAsia="zh-CN"/>
        </w:rPr>
        <w:t>2、值守、应急处置岗：门口值守、平时巡逻、应急处置。</w:t>
      </w:r>
    </w:p>
    <w:tbl>
      <w:tblPr>
        <w:tblStyle w:val="8"/>
        <w:tblpPr w:leftFromText="180" w:rightFromText="180" w:vertAnchor="text" w:horzAnchor="page" w:tblpX="1830" w:tblpY="266"/>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455"/>
        <w:gridCol w:w="3900"/>
        <w:gridCol w:w="1065"/>
        <w:gridCol w:w="1845"/>
      </w:tblGrid>
      <w:tr w14:paraId="140C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0" w:type="dxa"/>
            <w:noWrap w:val="0"/>
            <w:vAlign w:val="center"/>
          </w:tcPr>
          <w:p w14:paraId="61AE56EC">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序号</w:t>
            </w:r>
          </w:p>
        </w:tc>
        <w:tc>
          <w:tcPr>
            <w:tcW w:w="1455" w:type="dxa"/>
            <w:noWrap w:val="0"/>
            <w:vAlign w:val="center"/>
          </w:tcPr>
          <w:p w14:paraId="6C29A82E">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院区</w:t>
            </w:r>
          </w:p>
        </w:tc>
        <w:tc>
          <w:tcPr>
            <w:tcW w:w="3900" w:type="dxa"/>
            <w:noWrap w:val="0"/>
            <w:vAlign w:val="center"/>
          </w:tcPr>
          <w:p w14:paraId="147039C2">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岗位</w:t>
            </w:r>
          </w:p>
        </w:tc>
        <w:tc>
          <w:tcPr>
            <w:tcW w:w="1065" w:type="dxa"/>
            <w:noWrap w:val="0"/>
            <w:vAlign w:val="center"/>
          </w:tcPr>
          <w:p w14:paraId="5CEE6CB0">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人数</w:t>
            </w:r>
          </w:p>
        </w:tc>
        <w:tc>
          <w:tcPr>
            <w:tcW w:w="1845" w:type="dxa"/>
            <w:noWrap w:val="0"/>
            <w:vAlign w:val="center"/>
          </w:tcPr>
          <w:p w14:paraId="7843AA8B">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备注</w:t>
            </w:r>
          </w:p>
        </w:tc>
      </w:tr>
      <w:tr w14:paraId="53F4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10" w:type="dxa"/>
            <w:noWrap w:val="0"/>
            <w:vAlign w:val="center"/>
          </w:tcPr>
          <w:p w14:paraId="17714D0D">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1</w:t>
            </w:r>
          </w:p>
        </w:tc>
        <w:tc>
          <w:tcPr>
            <w:tcW w:w="1455" w:type="dxa"/>
            <w:vMerge w:val="restart"/>
            <w:noWrap w:val="0"/>
            <w:vAlign w:val="center"/>
          </w:tcPr>
          <w:p w14:paraId="2259F74E">
            <w:pPr>
              <w:jc w:val="both"/>
              <w:rPr>
                <w:rFonts w:hint="eastAsia" w:ascii="微软雅黑" w:hAnsi="微软雅黑" w:eastAsia="微软雅黑" w:cs="微软雅黑"/>
                <w:b w:val="0"/>
                <w:bCs w:val="0"/>
                <w:color w:val="auto"/>
                <w:sz w:val="21"/>
                <w:szCs w:val="21"/>
                <w:lang w:val="en-US" w:eastAsia="zh-CN"/>
              </w:rPr>
            </w:pPr>
          </w:p>
          <w:p w14:paraId="66420D51">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万山分院</w:t>
            </w:r>
          </w:p>
        </w:tc>
        <w:tc>
          <w:tcPr>
            <w:tcW w:w="3900" w:type="dxa"/>
            <w:noWrap w:val="0"/>
            <w:vAlign w:val="center"/>
          </w:tcPr>
          <w:p w14:paraId="7F82F6CC">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院区负责人</w:t>
            </w:r>
          </w:p>
        </w:tc>
        <w:tc>
          <w:tcPr>
            <w:tcW w:w="1065" w:type="dxa"/>
            <w:noWrap w:val="0"/>
            <w:vAlign w:val="center"/>
          </w:tcPr>
          <w:p w14:paraId="633A412B">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1</w:t>
            </w:r>
          </w:p>
        </w:tc>
        <w:tc>
          <w:tcPr>
            <w:tcW w:w="1845" w:type="dxa"/>
            <w:noWrap w:val="0"/>
            <w:vAlign w:val="center"/>
          </w:tcPr>
          <w:p w14:paraId="33A34DE4">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白班</w:t>
            </w:r>
          </w:p>
        </w:tc>
      </w:tr>
      <w:tr w14:paraId="2023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10" w:type="dxa"/>
            <w:vMerge w:val="restart"/>
            <w:noWrap w:val="0"/>
            <w:vAlign w:val="center"/>
          </w:tcPr>
          <w:p w14:paraId="23703961">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2</w:t>
            </w:r>
          </w:p>
        </w:tc>
        <w:tc>
          <w:tcPr>
            <w:tcW w:w="1455" w:type="dxa"/>
            <w:vMerge w:val="continue"/>
            <w:noWrap w:val="0"/>
            <w:vAlign w:val="center"/>
          </w:tcPr>
          <w:p w14:paraId="2431E141">
            <w:pPr>
              <w:jc w:val="center"/>
              <w:rPr>
                <w:rFonts w:hint="eastAsia" w:ascii="微软雅黑" w:hAnsi="微软雅黑" w:eastAsia="微软雅黑" w:cs="微软雅黑"/>
                <w:b w:val="0"/>
                <w:bCs w:val="0"/>
                <w:color w:val="auto"/>
                <w:sz w:val="21"/>
                <w:szCs w:val="21"/>
                <w:lang w:val="en-US" w:eastAsia="zh-CN"/>
              </w:rPr>
            </w:pPr>
          </w:p>
        </w:tc>
        <w:tc>
          <w:tcPr>
            <w:tcW w:w="3900" w:type="dxa"/>
            <w:noWrap w:val="0"/>
            <w:vAlign w:val="center"/>
          </w:tcPr>
          <w:p w14:paraId="271D2578">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院内及医院门口交通管理</w:t>
            </w:r>
          </w:p>
        </w:tc>
        <w:tc>
          <w:tcPr>
            <w:tcW w:w="1065" w:type="dxa"/>
            <w:vMerge w:val="restart"/>
            <w:noWrap w:val="0"/>
            <w:vAlign w:val="center"/>
          </w:tcPr>
          <w:p w14:paraId="175BD7E5">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4</w:t>
            </w:r>
          </w:p>
        </w:tc>
        <w:tc>
          <w:tcPr>
            <w:tcW w:w="1845" w:type="dxa"/>
            <w:vMerge w:val="restart"/>
            <w:noWrap w:val="0"/>
            <w:vAlign w:val="center"/>
          </w:tcPr>
          <w:p w14:paraId="27452AFE">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白班2人</w:t>
            </w:r>
          </w:p>
          <w:p w14:paraId="1EFC8E8E">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夜班2人</w:t>
            </w:r>
          </w:p>
        </w:tc>
      </w:tr>
      <w:tr w14:paraId="5742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10" w:type="dxa"/>
            <w:vMerge w:val="continue"/>
            <w:noWrap w:val="0"/>
            <w:vAlign w:val="center"/>
          </w:tcPr>
          <w:p w14:paraId="335C3804">
            <w:pPr>
              <w:jc w:val="center"/>
              <w:rPr>
                <w:rFonts w:hint="eastAsia" w:ascii="微软雅黑" w:hAnsi="微软雅黑" w:eastAsia="微软雅黑" w:cs="微软雅黑"/>
                <w:b w:val="0"/>
                <w:bCs w:val="0"/>
                <w:color w:val="auto"/>
                <w:sz w:val="21"/>
                <w:szCs w:val="21"/>
                <w:lang w:val="en-US" w:eastAsia="zh-CN"/>
              </w:rPr>
            </w:pPr>
          </w:p>
        </w:tc>
        <w:tc>
          <w:tcPr>
            <w:tcW w:w="1455" w:type="dxa"/>
            <w:vMerge w:val="continue"/>
            <w:noWrap w:val="0"/>
            <w:vAlign w:val="center"/>
          </w:tcPr>
          <w:p w14:paraId="7814328F">
            <w:pPr>
              <w:jc w:val="center"/>
              <w:rPr>
                <w:rFonts w:hint="eastAsia" w:ascii="微软雅黑" w:hAnsi="微软雅黑" w:eastAsia="微软雅黑" w:cs="微软雅黑"/>
                <w:b w:val="0"/>
                <w:bCs w:val="0"/>
                <w:color w:val="auto"/>
                <w:sz w:val="21"/>
                <w:szCs w:val="21"/>
                <w:lang w:val="en-US" w:eastAsia="zh-CN"/>
              </w:rPr>
            </w:pPr>
          </w:p>
        </w:tc>
        <w:tc>
          <w:tcPr>
            <w:tcW w:w="3900" w:type="dxa"/>
            <w:noWrap w:val="0"/>
            <w:vAlign w:val="center"/>
          </w:tcPr>
          <w:p w14:paraId="459BC31D">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院内公共区域巡逻及应急处置</w:t>
            </w:r>
          </w:p>
        </w:tc>
        <w:tc>
          <w:tcPr>
            <w:tcW w:w="1065" w:type="dxa"/>
            <w:vMerge w:val="continue"/>
            <w:noWrap w:val="0"/>
            <w:vAlign w:val="center"/>
          </w:tcPr>
          <w:p w14:paraId="2A71302C">
            <w:pPr>
              <w:jc w:val="center"/>
              <w:rPr>
                <w:rFonts w:hint="eastAsia" w:ascii="微软雅黑" w:hAnsi="微软雅黑" w:eastAsia="微软雅黑" w:cs="微软雅黑"/>
                <w:b w:val="0"/>
                <w:bCs w:val="0"/>
                <w:color w:val="auto"/>
                <w:sz w:val="21"/>
                <w:szCs w:val="21"/>
                <w:lang w:val="en-US" w:eastAsia="zh-CN"/>
              </w:rPr>
            </w:pPr>
          </w:p>
        </w:tc>
        <w:tc>
          <w:tcPr>
            <w:tcW w:w="1845" w:type="dxa"/>
            <w:vMerge w:val="continue"/>
            <w:noWrap w:val="0"/>
            <w:vAlign w:val="center"/>
          </w:tcPr>
          <w:p w14:paraId="0112414E">
            <w:pPr>
              <w:jc w:val="center"/>
              <w:rPr>
                <w:rFonts w:hint="eastAsia" w:ascii="微软雅黑" w:hAnsi="微软雅黑" w:eastAsia="微软雅黑" w:cs="微软雅黑"/>
                <w:b w:val="0"/>
                <w:bCs w:val="0"/>
                <w:color w:val="auto"/>
                <w:sz w:val="21"/>
                <w:szCs w:val="21"/>
                <w:lang w:val="en-US" w:eastAsia="zh-CN"/>
              </w:rPr>
            </w:pPr>
          </w:p>
        </w:tc>
      </w:tr>
      <w:tr w14:paraId="658F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10" w:type="dxa"/>
            <w:noWrap w:val="0"/>
            <w:vAlign w:val="center"/>
          </w:tcPr>
          <w:p w14:paraId="572FF2C1">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3</w:t>
            </w:r>
          </w:p>
        </w:tc>
        <w:tc>
          <w:tcPr>
            <w:tcW w:w="1455" w:type="dxa"/>
            <w:vMerge w:val="continue"/>
            <w:noWrap w:val="0"/>
            <w:vAlign w:val="center"/>
          </w:tcPr>
          <w:p w14:paraId="1339F364">
            <w:pPr>
              <w:jc w:val="center"/>
              <w:rPr>
                <w:rFonts w:hint="eastAsia" w:ascii="微软雅黑" w:hAnsi="微软雅黑" w:eastAsia="微软雅黑" w:cs="微软雅黑"/>
                <w:b w:val="0"/>
                <w:bCs w:val="0"/>
                <w:color w:val="auto"/>
                <w:sz w:val="21"/>
                <w:szCs w:val="21"/>
                <w:lang w:val="en-US" w:eastAsia="zh-CN"/>
              </w:rPr>
            </w:pPr>
          </w:p>
        </w:tc>
        <w:tc>
          <w:tcPr>
            <w:tcW w:w="3900" w:type="dxa"/>
            <w:noWrap w:val="0"/>
            <w:vAlign w:val="center"/>
          </w:tcPr>
          <w:p w14:paraId="75CC4F77">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调 休</w:t>
            </w:r>
          </w:p>
        </w:tc>
        <w:tc>
          <w:tcPr>
            <w:tcW w:w="1065" w:type="dxa"/>
            <w:noWrap w:val="0"/>
            <w:vAlign w:val="center"/>
          </w:tcPr>
          <w:p w14:paraId="0CF21A9A">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2</w:t>
            </w:r>
          </w:p>
        </w:tc>
        <w:tc>
          <w:tcPr>
            <w:tcW w:w="1845" w:type="dxa"/>
            <w:noWrap w:val="0"/>
            <w:vAlign w:val="center"/>
          </w:tcPr>
          <w:p w14:paraId="541429E9">
            <w:pPr>
              <w:jc w:val="both"/>
              <w:rPr>
                <w:rFonts w:hint="eastAsia" w:ascii="微软雅黑" w:hAnsi="微软雅黑" w:eastAsia="微软雅黑" w:cs="微软雅黑"/>
                <w:b w:val="0"/>
                <w:bCs w:val="0"/>
                <w:color w:val="auto"/>
                <w:sz w:val="21"/>
                <w:szCs w:val="21"/>
                <w:lang w:val="en-US" w:eastAsia="zh-CN"/>
              </w:rPr>
            </w:pPr>
          </w:p>
        </w:tc>
      </w:tr>
      <w:tr w14:paraId="1598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10" w:type="dxa"/>
            <w:noWrap w:val="0"/>
            <w:vAlign w:val="center"/>
          </w:tcPr>
          <w:p w14:paraId="1D0AAB0A">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4</w:t>
            </w:r>
          </w:p>
        </w:tc>
        <w:tc>
          <w:tcPr>
            <w:tcW w:w="1455" w:type="dxa"/>
            <w:vMerge w:val="continue"/>
            <w:noWrap w:val="0"/>
            <w:vAlign w:val="center"/>
          </w:tcPr>
          <w:p w14:paraId="1AE52965">
            <w:pPr>
              <w:jc w:val="center"/>
              <w:rPr>
                <w:rFonts w:hint="eastAsia" w:ascii="微软雅黑" w:hAnsi="微软雅黑" w:eastAsia="微软雅黑" w:cs="微软雅黑"/>
                <w:b w:val="0"/>
                <w:bCs w:val="0"/>
                <w:color w:val="auto"/>
                <w:sz w:val="21"/>
                <w:szCs w:val="21"/>
                <w:lang w:val="en-US" w:eastAsia="zh-CN"/>
              </w:rPr>
            </w:pPr>
          </w:p>
        </w:tc>
        <w:tc>
          <w:tcPr>
            <w:tcW w:w="3900" w:type="dxa"/>
            <w:noWrap w:val="0"/>
            <w:vAlign w:val="center"/>
          </w:tcPr>
          <w:p w14:paraId="3DC98F30">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合计</w:t>
            </w:r>
          </w:p>
        </w:tc>
        <w:tc>
          <w:tcPr>
            <w:tcW w:w="1065" w:type="dxa"/>
            <w:noWrap w:val="0"/>
            <w:vAlign w:val="center"/>
          </w:tcPr>
          <w:p w14:paraId="76174D24">
            <w:pPr>
              <w:jc w:val="center"/>
              <w:rPr>
                <w:rFonts w:hint="default"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7</w:t>
            </w:r>
          </w:p>
        </w:tc>
        <w:tc>
          <w:tcPr>
            <w:tcW w:w="1845" w:type="dxa"/>
            <w:noWrap w:val="0"/>
            <w:vAlign w:val="center"/>
          </w:tcPr>
          <w:p w14:paraId="045418F6">
            <w:pPr>
              <w:jc w:val="center"/>
              <w:rPr>
                <w:rFonts w:hint="eastAsia" w:ascii="微软雅黑" w:hAnsi="微软雅黑" w:eastAsia="微软雅黑" w:cs="微软雅黑"/>
                <w:b w:val="0"/>
                <w:bCs w:val="0"/>
                <w:color w:val="auto"/>
                <w:sz w:val="21"/>
                <w:szCs w:val="21"/>
                <w:lang w:val="en-US" w:eastAsia="zh-CN"/>
              </w:rPr>
            </w:pPr>
          </w:p>
        </w:tc>
      </w:tr>
    </w:tbl>
    <w:p w14:paraId="012A9E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微软雅黑" w:hAnsi="微软雅黑" w:eastAsia="微软雅黑" w:cs="微软雅黑"/>
          <w:b/>
          <w:bCs/>
          <w:color w:val="0070C0"/>
          <w:sz w:val="21"/>
          <w:szCs w:val="21"/>
          <w:lang w:val="en-US" w:eastAsia="zh-CN"/>
        </w:rPr>
      </w:pPr>
      <w:r>
        <w:rPr>
          <w:rFonts w:hint="eastAsia" w:ascii="微软雅黑" w:hAnsi="微软雅黑" w:eastAsia="微软雅黑" w:cs="微软雅黑"/>
          <w:b/>
          <w:bCs/>
          <w:color w:val="0070C0"/>
          <w:sz w:val="21"/>
          <w:szCs w:val="21"/>
          <w:lang w:val="en-US" w:eastAsia="zh-CN"/>
        </w:rPr>
        <w:t xml:space="preserve">    </w:t>
      </w:r>
      <w:bookmarkStart w:id="23" w:name="_GoBack"/>
      <w:bookmarkEnd w:id="23"/>
    </w:p>
    <w:p w14:paraId="3F874CAD">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2E75B6" w:themeColor="accent1" w:themeShade="BF"/>
          <w:sz w:val="21"/>
          <w:szCs w:val="21"/>
          <w:lang w:val="en-US" w:eastAsia="zh-CN"/>
        </w:rPr>
      </w:pPr>
      <w:r>
        <w:rPr>
          <w:rFonts w:hint="eastAsia" w:ascii="微软雅黑" w:hAnsi="微软雅黑" w:eastAsia="微软雅黑" w:cs="微软雅黑"/>
          <w:b/>
          <w:bCs/>
          <w:color w:val="2E75B6" w:themeColor="accent1" w:themeShade="BF"/>
          <w:sz w:val="21"/>
          <w:szCs w:val="21"/>
          <w:lang w:val="en-US" w:eastAsia="zh-CN"/>
        </w:rPr>
        <w:t>基本</w:t>
      </w:r>
      <w:r>
        <w:rPr>
          <w:rFonts w:hint="eastAsia" w:ascii="微软雅黑" w:hAnsi="微软雅黑" w:eastAsia="微软雅黑" w:cs="微软雅黑"/>
          <w:b/>
          <w:bCs/>
          <w:color w:val="2E75B6" w:themeColor="accent1" w:themeShade="BF"/>
          <w:sz w:val="21"/>
          <w:szCs w:val="21"/>
        </w:rPr>
        <w:t>项目概述简介</w:t>
      </w:r>
    </w:p>
    <w:p w14:paraId="62878F1F">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bCs/>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基本情况</w:t>
      </w:r>
    </w:p>
    <w:p w14:paraId="7C491968">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10" w:firstLineChars="100"/>
        <w:jc w:val="lef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sz w:val="21"/>
          <w:szCs w:val="21"/>
        </w:rPr>
        <w:t>确定一家供应商，为采购人提供医院</w:t>
      </w:r>
      <w:r>
        <w:rPr>
          <w:rFonts w:hint="eastAsia" w:ascii="微软雅黑" w:hAnsi="微软雅黑" w:eastAsia="微软雅黑" w:cs="微软雅黑"/>
          <w:color w:val="auto"/>
          <w:sz w:val="21"/>
          <w:szCs w:val="21"/>
          <w:lang w:eastAsia="zh-CN"/>
        </w:rPr>
        <w:t>保安</w:t>
      </w:r>
      <w:r>
        <w:rPr>
          <w:rFonts w:hint="eastAsia" w:ascii="微软雅黑" w:hAnsi="微软雅黑" w:eastAsia="微软雅黑" w:cs="微软雅黑"/>
          <w:color w:val="auto"/>
          <w:sz w:val="21"/>
          <w:szCs w:val="21"/>
        </w:rPr>
        <w:t>管理服务。服务地点：</w:t>
      </w:r>
      <w:r>
        <w:rPr>
          <w:rFonts w:hint="eastAsia" w:ascii="微软雅黑" w:hAnsi="微软雅黑" w:eastAsia="微软雅黑" w:cs="微软雅黑"/>
          <w:color w:val="auto"/>
          <w:sz w:val="21"/>
          <w:szCs w:val="21"/>
          <w:lang w:eastAsia="zh-CN"/>
        </w:rPr>
        <w:t>襄阳市中心医院万山分院</w:t>
      </w:r>
      <w:r>
        <w:rPr>
          <w:rFonts w:hint="eastAsia" w:ascii="微软雅黑" w:hAnsi="微软雅黑" w:eastAsia="微软雅黑" w:cs="微软雅黑"/>
          <w:color w:val="auto"/>
          <w:sz w:val="21"/>
          <w:szCs w:val="21"/>
        </w:rPr>
        <w:t>。</w:t>
      </w:r>
    </w:p>
    <w:p w14:paraId="2DC78BE1">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10" w:firstLineChars="100"/>
        <w:jc w:val="lef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rPr>
        <w:t>供应商应按照《中华人民共和国劳动法》的相关规定发放工资，服务人员工资</w:t>
      </w:r>
      <w:r>
        <w:rPr>
          <w:rFonts w:hint="eastAsia" w:ascii="微软雅黑" w:hAnsi="微软雅黑" w:eastAsia="微软雅黑" w:cs="微软雅黑"/>
          <w:lang w:eastAsia="zh-CN"/>
        </w:rPr>
        <w:t>不得</w:t>
      </w:r>
      <w:r>
        <w:rPr>
          <w:rFonts w:hint="eastAsia" w:ascii="微软雅黑" w:hAnsi="微软雅黑" w:eastAsia="微软雅黑" w:cs="微软雅黑"/>
          <w:lang w:val="en-US" w:eastAsia="zh-CN"/>
        </w:rPr>
        <w:t>低于</w:t>
      </w:r>
      <w:r>
        <w:rPr>
          <w:rFonts w:hint="eastAsia" w:ascii="微软雅黑" w:hAnsi="微软雅黑" w:eastAsia="微软雅黑" w:cs="微软雅黑"/>
          <w:lang w:eastAsia="zh-CN"/>
        </w:rPr>
        <w:t>襄阳市</w:t>
      </w:r>
      <w:r>
        <w:rPr>
          <w:rFonts w:hint="eastAsia" w:ascii="微软雅黑" w:hAnsi="微软雅黑" w:eastAsia="微软雅黑" w:cs="微软雅黑"/>
        </w:rPr>
        <w:t>企业职工最低工资标准（工资不含按国家规定供应商必须支付的社会保险及其他</w:t>
      </w:r>
      <w:r>
        <w:rPr>
          <w:rFonts w:hint="eastAsia" w:ascii="微软雅黑" w:hAnsi="微软雅黑" w:eastAsia="微软雅黑" w:cs="微软雅黑"/>
          <w:color w:val="auto"/>
        </w:rPr>
        <w:t>应付费用）</w:t>
      </w:r>
      <w:r>
        <w:rPr>
          <w:rFonts w:hint="eastAsia" w:ascii="微软雅黑" w:hAnsi="微软雅黑" w:eastAsia="微软雅黑" w:cs="微软雅黑"/>
          <w:color w:val="auto"/>
          <w:lang w:eastAsia="zh-CN"/>
        </w:rPr>
        <w:t>。</w:t>
      </w:r>
    </w:p>
    <w:p w14:paraId="43DDE74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10" w:firstLineChars="10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kern w:val="28"/>
          <w:sz w:val="21"/>
          <w:szCs w:val="21"/>
        </w:rPr>
        <w:t>供应商应</w:t>
      </w:r>
      <w:r>
        <w:rPr>
          <w:rFonts w:hint="eastAsia" w:ascii="微软雅黑" w:hAnsi="微软雅黑" w:eastAsia="微软雅黑" w:cs="微软雅黑"/>
          <w:color w:val="auto"/>
          <w:sz w:val="21"/>
          <w:szCs w:val="21"/>
        </w:rPr>
        <w:t>按照《</w:t>
      </w:r>
      <w:r>
        <w:rPr>
          <w:rFonts w:hint="eastAsia" w:ascii="微软雅黑" w:hAnsi="微软雅黑" w:eastAsia="微软雅黑" w:cs="微软雅黑"/>
          <w:bCs/>
          <w:color w:val="auto"/>
          <w:sz w:val="21"/>
          <w:szCs w:val="21"/>
        </w:rPr>
        <w:t>中</w:t>
      </w:r>
      <w:r>
        <w:rPr>
          <w:rFonts w:hint="eastAsia" w:ascii="微软雅黑" w:hAnsi="微软雅黑" w:eastAsia="微软雅黑" w:cs="微软雅黑"/>
          <w:color w:val="auto"/>
          <w:sz w:val="21"/>
          <w:szCs w:val="21"/>
        </w:rPr>
        <w:t>华人民共和国社会保险法》的相关规定，支付国家规定必须购买的社会保险费用和缴存住房公积金。</w:t>
      </w:r>
    </w:p>
    <w:p w14:paraId="427E7F39">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10" w:firstLineChars="100"/>
        <w:jc w:val="lef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sz w:val="21"/>
          <w:szCs w:val="21"/>
        </w:rPr>
        <w:t>中标人须具备以下两个条件之一（提供相关证明材料扫描件）：1.在</w:t>
      </w:r>
      <w:r>
        <w:rPr>
          <w:rFonts w:hint="eastAsia" w:ascii="微软雅黑" w:hAnsi="微软雅黑" w:eastAsia="微软雅黑" w:cs="微软雅黑"/>
          <w:color w:val="auto"/>
          <w:sz w:val="21"/>
          <w:szCs w:val="21"/>
          <w:lang w:eastAsia="zh-CN"/>
        </w:rPr>
        <w:t>襄阳市</w:t>
      </w:r>
      <w:r>
        <w:rPr>
          <w:rFonts w:hint="eastAsia" w:ascii="微软雅黑" w:hAnsi="微软雅黑" w:eastAsia="微软雅黑" w:cs="微软雅黑"/>
          <w:color w:val="auto"/>
          <w:sz w:val="21"/>
          <w:szCs w:val="21"/>
        </w:rPr>
        <w:t>进行工商登记并持有</w:t>
      </w:r>
      <w:r>
        <w:rPr>
          <w:rFonts w:hint="eastAsia" w:ascii="微软雅黑" w:hAnsi="微软雅黑" w:eastAsia="微软雅黑" w:cs="微软雅黑"/>
          <w:color w:val="auto"/>
          <w:sz w:val="21"/>
          <w:szCs w:val="21"/>
          <w:lang w:eastAsia="zh-CN"/>
        </w:rPr>
        <w:t>湖北</w:t>
      </w:r>
      <w:r>
        <w:rPr>
          <w:rFonts w:hint="eastAsia" w:ascii="微软雅黑" w:hAnsi="微软雅黑" w:eastAsia="微软雅黑" w:cs="微软雅黑"/>
          <w:color w:val="auto"/>
          <w:sz w:val="21"/>
          <w:szCs w:val="21"/>
        </w:rPr>
        <w:t>省公安机关核发的《保安服务许可证》；2.持有省级公安机关核发的《保安服务许可证》，并已向</w:t>
      </w:r>
      <w:r>
        <w:rPr>
          <w:rFonts w:hint="eastAsia" w:ascii="微软雅黑" w:hAnsi="微软雅黑" w:eastAsia="微软雅黑" w:cs="微软雅黑"/>
          <w:color w:val="auto"/>
          <w:sz w:val="21"/>
          <w:szCs w:val="21"/>
          <w:lang w:eastAsia="zh-CN"/>
        </w:rPr>
        <w:t>襄阳</w:t>
      </w:r>
      <w:r>
        <w:rPr>
          <w:rFonts w:hint="eastAsia" w:ascii="微软雅黑" w:hAnsi="微软雅黑" w:eastAsia="微软雅黑" w:cs="微软雅黑"/>
          <w:color w:val="auto"/>
          <w:sz w:val="21"/>
          <w:szCs w:val="21"/>
        </w:rPr>
        <w:t>市公安局提交设立分公司备案材料（提供有效的《保安服务公司设立分公司备案证明》，或者提供国家企业信用信息公示系统“多证合一”栏目中公示的在</w:t>
      </w:r>
      <w:r>
        <w:rPr>
          <w:rFonts w:hint="eastAsia" w:ascii="微软雅黑" w:hAnsi="微软雅黑" w:eastAsia="微软雅黑" w:cs="微软雅黑"/>
          <w:color w:val="auto"/>
          <w:sz w:val="21"/>
          <w:szCs w:val="21"/>
          <w:lang w:eastAsia="zh-CN"/>
        </w:rPr>
        <w:t>襄阳市</w:t>
      </w:r>
      <w:r>
        <w:rPr>
          <w:rFonts w:hint="eastAsia" w:ascii="微软雅黑" w:hAnsi="微软雅黑" w:eastAsia="微软雅黑" w:cs="微软雅黑"/>
          <w:color w:val="auto"/>
          <w:sz w:val="21"/>
          <w:szCs w:val="21"/>
        </w:rPr>
        <w:t>设立分公司备案反馈结果查询截图）。</w:t>
      </w:r>
    </w:p>
    <w:p w14:paraId="3E35BA7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10" w:firstLineChars="100"/>
        <w:jc w:val="lef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sz w:val="21"/>
          <w:szCs w:val="21"/>
        </w:rPr>
        <w:t>供应商须承诺对医院内有可能发生的突发性事件和突发性公共卫生事件而制订的应急预案及定期演练的相关费用包含在本项目服务费中。因采购人工作需要，临时性的增加工作（如防汛防暴抢险工作等），供应商应调配服务人员上班，不得向采购人申请加班费。服务期内，供应商聘用员工在医院内上班工作时间出现相关伤害或因公死亡情况的，怃恤金等由供应商支付，事故处理由供应商负责。供应商不得对医院内设施及布置作任意更改，供应商的工作人员在医院内发生违法、违规行为及所造成一切后果及损失，由供应商承担全部责任和负责赔偿。</w:t>
      </w:r>
    </w:p>
    <w:p w14:paraId="2AEAD7B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10" w:firstLineChars="100"/>
        <w:jc w:val="lef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sz w:val="21"/>
          <w:szCs w:val="21"/>
        </w:rPr>
        <w:t>供应商须书面承诺如获成交，签订合同后的即日起按照采购需求的人员配置配齐所有人员到岗，并把人员名单及入职资料等相关文件提交给采购人备案。并承诺同意按照采购人实际情况及轻重缓急调配岗位</w:t>
      </w:r>
      <w:r>
        <w:rPr>
          <w:rFonts w:hint="eastAsia" w:ascii="微软雅黑" w:hAnsi="微软雅黑" w:eastAsia="微软雅黑" w:cs="微软雅黑"/>
          <w:color w:val="auto"/>
          <w:lang w:eastAsia="zh-CN"/>
        </w:rPr>
        <w:t>。</w:t>
      </w:r>
    </w:p>
    <w:p w14:paraId="3CD44478">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10" w:firstLineChars="10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要求供应商书面承诺拟投入本项目的所有员工应确保无犯罪记录，上岗前应经二级或以上医院健康体检，合格方可安排上岗，每位员工个人资料（身份证复印件、健康体检报告单或健康证原件或复印件等）在其上岗前需提交给采购人确认、备案；服务期间人员调整（人员新增、证件变更、出具新的健康体检报告单或健康证等）应重新提交个人资料交采购人备案</w:t>
      </w:r>
      <w:r>
        <w:rPr>
          <w:rFonts w:hint="eastAsia" w:ascii="微软雅黑" w:hAnsi="微软雅黑" w:eastAsia="微软雅黑" w:cs="微软雅黑"/>
          <w:color w:val="auto"/>
          <w:sz w:val="21"/>
          <w:szCs w:val="21"/>
          <w:lang w:eastAsia="zh-CN"/>
        </w:rPr>
        <w:t>。</w:t>
      </w:r>
    </w:p>
    <w:p w14:paraId="63B9DE6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10" w:firstLineChars="100"/>
        <w:jc w:val="lef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sz w:val="21"/>
          <w:szCs w:val="21"/>
        </w:rPr>
        <w:t>供应商需将设备、人员费用明细、物料费用明细、办公费用明细、税费和管理费等所有费用摊到每一个服务人员进行报价，同时提供各区域、工种的人员配置方案，进场人员与配置方案需一致，但具体可根据实际情况进行调整</w:t>
      </w:r>
      <w:r>
        <w:rPr>
          <w:rFonts w:hint="eastAsia" w:ascii="微软雅黑" w:hAnsi="微软雅黑" w:eastAsia="微软雅黑" w:cs="微软雅黑"/>
          <w:color w:val="auto"/>
          <w:sz w:val="21"/>
          <w:szCs w:val="21"/>
          <w:lang w:eastAsia="zh-CN"/>
        </w:rPr>
        <w:t>。</w:t>
      </w:r>
    </w:p>
    <w:p w14:paraId="22AAF8E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10" w:firstLineChars="10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根据双方签定的合同要求、每月的服务完成情况及实际到岗服务人次，并经采购人考核后，采购人支付上月的服务费用</w:t>
      </w:r>
      <w:r>
        <w:rPr>
          <w:rFonts w:hint="eastAsia" w:ascii="微软雅黑" w:hAnsi="微软雅黑" w:eastAsia="微软雅黑" w:cs="微软雅黑"/>
          <w:color w:val="auto"/>
          <w:sz w:val="21"/>
          <w:szCs w:val="21"/>
          <w:lang w:eastAsia="zh-CN"/>
        </w:rPr>
        <w:t>。</w:t>
      </w:r>
    </w:p>
    <w:p w14:paraId="091895D9">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10" w:firstLineChars="10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由采购人、供应商共同进行服务人员管理，采购人考核及作出人员调整意见（包括辞退、调换等），供应商负责服务人员福利待遇、辞退手续、设备物资采购及管理等，辞退员工发生的补偿费用由供应商支付。如出现劳资纠纷等问题需要仲裁的费用由供应商支付</w:t>
      </w:r>
      <w:r>
        <w:rPr>
          <w:rFonts w:hint="eastAsia" w:ascii="微软雅黑" w:hAnsi="微软雅黑" w:eastAsia="微软雅黑" w:cs="微软雅黑"/>
          <w:color w:val="auto"/>
          <w:sz w:val="21"/>
          <w:szCs w:val="21"/>
          <w:lang w:eastAsia="zh-CN"/>
        </w:rPr>
        <w:t>。</w:t>
      </w:r>
    </w:p>
    <w:p w14:paraId="1DA7055B">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10" w:firstLineChars="100"/>
        <w:jc w:val="lef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sz w:val="21"/>
          <w:szCs w:val="21"/>
        </w:rPr>
        <w:t>各类服务人员先由供应商进行岗前培训，合格后方可分派。各科室、院感部门有职责对服务人员进行相关知识培训；检验、供应室临床科室等重点部门应根据本科室的要求对服务人员进行岗前培训，各服务人员须经考核合格后才能上岗</w:t>
      </w:r>
      <w:r>
        <w:rPr>
          <w:rFonts w:hint="eastAsia" w:ascii="微软雅黑" w:hAnsi="微软雅黑" w:eastAsia="微软雅黑" w:cs="微软雅黑"/>
          <w:color w:val="auto"/>
          <w:lang w:eastAsia="zh-CN"/>
        </w:rPr>
        <w:t>。</w:t>
      </w:r>
    </w:p>
    <w:p w14:paraId="494546B2">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10" w:firstLineChars="10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color w:val="auto"/>
          <w:sz w:val="21"/>
          <w:szCs w:val="21"/>
        </w:rPr>
        <w:t>供应商严格按人员岗位职责、工作时间、人员配置上岗，上岗人员需统一工作服（统一由供应商提供），遇员工休假、休息，由供应商进行人员调配，并将上岗人员、姓名、数量、职责等</w:t>
      </w:r>
      <w:r>
        <w:rPr>
          <w:rFonts w:hint="eastAsia" w:ascii="微软雅黑" w:hAnsi="微软雅黑" w:eastAsia="微软雅黑" w:cs="微软雅黑"/>
          <w:color w:val="auto"/>
          <w:sz w:val="21"/>
          <w:szCs w:val="21"/>
          <w:lang w:eastAsia="zh-CN"/>
        </w:rPr>
        <w:t>以纸质版形式报至综合办公室</w:t>
      </w:r>
      <w:r>
        <w:rPr>
          <w:rFonts w:hint="eastAsia" w:ascii="微软雅黑" w:hAnsi="微软雅黑" w:eastAsia="微软雅黑" w:cs="微软雅黑"/>
          <w:color w:val="auto"/>
          <w:sz w:val="21"/>
          <w:szCs w:val="21"/>
        </w:rPr>
        <w:t>科室，保证按时、按质、按量地</w:t>
      </w:r>
      <w:r>
        <w:rPr>
          <w:rFonts w:hint="eastAsia" w:ascii="微软雅黑" w:hAnsi="微软雅黑" w:eastAsia="微软雅黑" w:cs="微软雅黑"/>
          <w:color w:val="auto"/>
          <w:sz w:val="21"/>
          <w:szCs w:val="21"/>
          <w:lang w:eastAsia="zh-CN"/>
        </w:rPr>
        <w:t>完成工作。</w:t>
      </w:r>
    </w:p>
    <w:p w14:paraId="27013E88">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2E75B6" w:themeColor="accent1" w:themeShade="BF"/>
          <w:sz w:val="21"/>
          <w:szCs w:val="21"/>
          <w:lang w:val="en-US" w:eastAsia="zh-CN"/>
        </w:rPr>
      </w:pPr>
      <w:r>
        <w:rPr>
          <w:rFonts w:hint="eastAsia" w:ascii="微软雅黑" w:hAnsi="微软雅黑" w:eastAsia="微软雅黑" w:cs="微软雅黑"/>
          <w:b/>
          <w:bCs/>
          <w:color w:val="2E75B6" w:themeColor="accent1" w:themeShade="BF"/>
          <w:sz w:val="21"/>
          <w:szCs w:val="21"/>
          <w:lang w:val="en-US" w:eastAsia="zh-CN"/>
        </w:rPr>
        <w:t>项目总体要求</w:t>
      </w:r>
    </w:p>
    <w:p w14:paraId="142F1240">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color w:val="auto"/>
          <w:sz w:val="21"/>
          <w:szCs w:val="21"/>
        </w:rPr>
        <w:t>采购人对供应商派出的保安员的岗位设置具有决定权，可对供应商的管理工作提供有效的意见和建议</w:t>
      </w:r>
      <w:r>
        <w:rPr>
          <w:rFonts w:hint="eastAsia" w:ascii="微软雅黑" w:hAnsi="微软雅黑" w:eastAsia="微软雅黑" w:cs="微软雅黑"/>
          <w:b w:val="0"/>
          <w:bCs w:val="0"/>
          <w:color w:val="auto"/>
          <w:sz w:val="21"/>
          <w:szCs w:val="21"/>
          <w:vertAlign w:val="baseline"/>
          <w:lang w:val="en-US" w:eastAsia="zh-CN"/>
        </w:rPr>
        <w:t>。</w:t>
      </w:r>
    </w:p>
    <w:p w14:paraId="23335B35">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color w:val="auto"/>
          <w:sz w:val="21"/>
          <w:szCs w:val="21"/>
        </w:rPr>
        <w:t>采购人按实际需要，要求供应商提供具有特殊专长的保安员</w:t>
      </w:r>
      <w:r>
        <w:rPr>
          <w:rFonts w:hint="eastAsia" w:ascii="微软雅黑" w:hAnsi="微软雅黑" w:eastAsia="微软雅黑" w:cs="微软雅黑"/>
          <w:b w:val="0"/>
          <w:bCs w:val="0"/>
          <w:color w:val="auto"/>
          <w:sz w:val="21"/>
          <w:szCs w:val="21"/>
          <w:vertAlign w:val="baseline"/>
          <w:lang w:val="en-US" w:eastAsia="zh-CN"/>
        </w:rPr>
        <w:t>。</w:t>
      </w:r>
    </w:p>
    <w:p w14:paraId="5749D3EF">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color w:val="auto"/>
          <w:sz w:val="21"/>
          <w:szCs w:val="21"/>
        </w:rPr>
        <w:t>供应商应针对本项目建立保安服务方案，以及组织架构、人员录用等内容的规章制度，并应得到采购人的认可</w:t>
      </w:r>
      <w:r>
        <w:rPr>
          <w:rFonts w:hint="eastAsia" w:ascii="微软雅黑" w:hAnsi="微软雅黑" w:eastAsia="微软雅黑" w:cs="微软雅黑"/>
          <w:b w:val="0"/>
          <w:bCs w:val="0"/>
          <w:color w:val="auto"/>
          <w:sz w:val="21"/>
          <w:szCs w:val="21"/>
          <w:vertAlign w:val="baseline"/>
          <w:lang w:val="en-US" w:eastAsia="zh-CN"/>
        </w:rPr>
        <w:t>。</w:t>
      </w:r>
    </w:p>
    <w:p w14:paraId="4B930E82">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color w:val="auto"/>
          <w:sz w:val="21"/>
          <w:szCs w:val="21"/>
        </w:rPr>
        <w:t>采购人对重要岗位的设置、人员录用与管理以及重要的管理决策有直接参与权与审批权。</w:t>
      </w:r>
    </w:p>
    <w:p w14:paraId="61D9F5C3">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b w:val="0"/>
          <w:bCs w:val="0"/>
          <w:color w:val="auto"/>
          <w:sz w:val="21"/>
          <w:szCs w:val="21"/>
          <w:vertAlign w:val="baseline"/>
          <w:lang w:val="en-US" w:eastAsia="zh-CN"/>
        </w:rPr>
        <w:t>在</w:t>
      </w:r>
      <w:r>
        <w:rPr>
          <w:rFonts w:hint="eastAsia" w:ascii="微软雅黑" w:hAnsi="微软雅黑" w:eastAsia="微软雅黑" w:cs="微软雅黑"/>
          <w:color w:val="auto"/>
          <w:sz w:val="21"/>
          <w:szCs w:val="21"/>
        </w:rPr>
        <w:t>处理特殊事件和紧急、突发事故时，采购人对供应商派出的保安员有直接指挥权</w:t>
      </w:r>
      <w:r>
        <w:rPr>
          <w:rFonts w:hint="eastAsia" w:ascii="微软雅黑" w:hAnsi="微软雅黑" w:eastAsia="微软雅黑" w:cs="微软雅黑"/>
          <w:color w:val="auto"/>
          <w:sz w:val="21"/>
          <w:szCs w:val="21"/>
          <w:lang w:eastAsia="zh-CN"/>
        </w:rPr>
        <w:t>。</w:t>
      </w:r>
    </w:p>
    <w:p w14:paraId="2D7888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val="0"/>
          <w:color w:val="auto"/>
          <w:sz w:val="21"/>
          <w:szCs w:val="21"/>
          <w:vertAlign w:val="baseline"/>
          <w:lang w:val="en-US" w:eastAsia="zh-CN"/>
        </w:rPr>
      </w:pPr>
    </w:p>
    <w:p w14:paraId="1574C04C">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color w:val="auto"/>
          <w:sz w:val="21"/>
          <w:szCs w:val="21"/>
        </w:rPr>
        <w:t>供应商应对供应商派出的保安员进行严格审查，保证其均持有公安机关颁发的《保安员证》。消防监控中心值班人员必须持有效国家行业主管部门颁发的</w:t>
      </w:r>
      <w:r>
        <w:rPr>
          <w:rFonts w:hint="eastAsia" w:ascii="微软雅黑" w:hAnsi="微软雅黑" w:eastAsia="微软雅黑" w:cs="微软雅黑"/>
          <w:color w:val="auto"/>
          <w:kern w:val="0"/>
          <w:sz w:val="21"/>
          <w:szCs w:val="21"/>
        </w:rPr>
        <w:t>建（构）筑物消防员职业资格证</w:t>
      </w:r>
      <w:r>
        <w:rPr>
          <w:rFonts w:hint="eastAsia" w:ascii="微软雅黑" w:hAnsi="微软雅黑" w:eastAsia="微软雅黑" w:cs="微软雅黑"/>
          <w:color w:val="auto"/>
          <w:sz w:val="21"/>
          <w:szCs w:val="21"/>
        </w:rPr>
        <w:t>或消防设施操作员证。</w:t>
      </w:r>
    </w:p>
    <w:p w14:paraId="291F6DE5">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color w:val="auto"/>
          <w:sz w:val="21"/>
          <w:szCs w:val="21"/>
        </w:rPr>
        <w:t>供应商必须严格按照国家的相关劳动法规和保险条例，为保安员提供完善的劳动权益保障。</w:t>
      </w:r>
    </w:p>
    <w:p w14:paraId="46498695">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color w:val="auto"/>
          <w:sz w:val="21"/>
          <w:szCs w:val="21"/>
        </w:rPr>
        <w:t>供应商与保安员签订用工合同时，必须采用</w:t>
      </w:r>
      <w:r>
        <w:rPr>
          <w:rFonts w:hint="eastAsia" w:ascii="微软雅黑" w:hAnsi="微软雅黑" w:eastAsia="微软雅黑" w:cs="微软雅黑"/>
          <w:color w:val="auto"/>
          <w:sz w:val="21"/>
          <w:szCs w:val="21"/>
          <w:lang w:eastAsia="zh-CN"/>
        </w:rPr>
        <w:t>湖北</w:t>
      </w:r>
      <w:r>
        <w:rPr>
          <w:rFonts w:hint="eastAsia" w:ascii="微软雅黑" w:hAnsi="微软雅黑" w:eastAsia="微软雅黑" w:cs="微软雅黑"/>
          <w:color w:val="auto"/>
          <w:sz w:val="21"/>
          <w:szCs w:val="21"/>
        </w:rPr>
        <w:t>省人力资源和社会保障厅印制的职工劳动合同版本。</w:t>
      </w:r>
    </w:p>
    <w:p w14:paraId="6A11046B">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color w:val="auto"/>
          <w:sz w:val="21"/>
          <w:szCs w:val="21"/>
        </w:rPr>
        <w:t>供应商在日常管理中要建立交接班、请（休）假等登记等制度，采购人有权查阅记录。如因保安员的休请假、撤换或辞退造成保安人数的空缺，供应商应在 2 日内予以补充。</w:t>
      </w:r>
    </w:p>
    <w:p w14:paraId="738801F5">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color w:val="auto"/>
          <w:sz w:val="21"/>
          <w:szCs w:val="21"/>
        </w:rPr>
        <w:t>采购人有权提出更换不符合使用要求或损害采购人利益的保安员。采购人提出更换要求并与供应商协商，协商完成后供应商应在2个工作日内予以更换。</w:t>
      </w:r>
    </w:p>
    <w:p w14:paraId="588C154D">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color w:val="auto"/>
          <w:sz w:val="21"/>
          <w:szCs w:val="21"/>
        </w:rPr>
        <w:t>若保安员发生劳动争议或出现伤、病及意外死亡情况时，由供应商处理并负相应的法律责任。</w:t>
      </w:r>
    </w:p>
    <w:p w14:paraId="43F13C20">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color w:val="auto"/>
          <w:sz w:val="21"/>
          <w:szCs w:val="21"/>
        </w:rPr>
        <w:t>供应商不得将本项目进行转包。</w:t>
      </w:r>
    </w:p>
    <w:p w14:paraId="5C4B0168">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技术或服务要求</w:t>
      </w:r>
    </w:p>
    <w:p w14:paraId="229DD3B5">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210" w:firstLineChars="100"/>
        <w:jc w:val="left"/>
        <w:textAlignment w:val="auto"/>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服务内容</w:t>
      </w:r>
    </w:p>
    <w:p w14:paraId="5469A0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本项目要求提供的保安服务人次总和不少于</w:t>
      </w:r>
      <w:r>
        <w:rPr>
          <w:rFonts w:hint="eastAsia" w:ascii="微软雅黑" w:hAnsi="微软雅黑" w:eastAsia="微软雅黑" w:cs="微软雅黑"/>
          <w:lang w:val="en-US" w:eastAsia="zh-CN"/>
        </w:rPr>
        <w:t>7</w:t>
      </w:r>
      <w:r>
        <w:rPr>
          <w:rFonts w:hint="eastAsia" w:ascii="微软雅黑" w:hAnsi="微软雅黑" w:eastAsia="微软雅黑" w:cs="微软雅黑"/>
        </w:rPr>
        <w:t>人次，含项目负责人（主管领班）。</w:t>
      </w:r>
    </w:p>
    <w:p w14:paraId="44D6D5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1.</w:t>
      </w:r>
      <w:r>
        <w:rPr>
          <w:rFonts w:hint="eastAsia" w:ascii="微软雅黑" w:hAnsi="微软雅黑" w:eastAsia="微软雅黑" w:cs="微软雅黑"/>
        </w:rPr>
        <w:t>医院对岗位设置、人员选用与日常管理具有直接指挥权和决定权。</w:t>
      </w:r>
    </w:p>
    <w:p w14:paraId="5E574EB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2.供应商对所录人员要严格政审，尚未解除纪律处分或者正在接受纪律审查的人员，以及刑事处罚期限未满或者涉嫌违法犯罪正在接受调查的人员，不得应聘，需身体健康状态良好、无精神病史、学历初中或以上，品行良好，取得工作相符的上岗资格证。</w:t>
      </w:r>
    </w:p>
    <w:p w14:paraId="4DBD6BE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3.供应商保安员须参加市级或以上消防培训，并持有培训证。未持有培训证人员，由采购人统一组织参加消防培训，费用由供应商负责。</w:t>
      </w:r>
    </w:p>
    <w:p w14:paraId="050F35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4.供应商保安员按岗位统一着装且保持制服干净整洁、恪尽职守、文明执勤、礼貌待人。文明用语，说普通话。</w:t>
      </w:r>
    </w:p>
    <w:p w14:paraId="465511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rPr>
      </w:pPr>
      <w:r>
        <w:rPr>
          <w:rFonts w:hint="eastAsia" w:ascii="微软雅黑" w:hAnsi="微软雅黑" w:eastAsia="微软雅黑" w:cs="微软雅黑"/>
          <w:color w:val="auto"/>
        </w:rPr>
        <w:t>5.供应商须根据《保安服务管理条例》的有关规定须自备安保制服和不少于</w:t>
      </w:r>
      <w:r>
        <w:rPr>
          <w:rFonts w:hint="eastAsia" w:ascii="微软雅黑" w:hAnsi="微软雅黑" w:eastAsia="微软雅黑" w:cs="微软雅黑"/>
          <w:color w:val="auto"/>
          <w:lang w:val="en-US" w:eastAsia="zh-CN"/>
        </w:rPr>
        <w:t>5</w:t>
      </w:r>
      <w:r>
        <w:rPr>
          <w:rFonts w:hint="eastAsia" w:ascii="微软雅黑" w:hAnsi="微软雅黑" w:eastAsia="微软雅黑" w:cs="微软雅黑"/>
          <w:color w:val="auto"/>
        </w:rPr>
        <w:t>套对讲机，防刺服、防割手套、催泪喷射器、多功能腰带、收缩警棍；盾牌、强光手电、钢叉和抓捕器</w:t>
      </w:r>
      <w:r>
        <w:rPr>
          <w:rFonts w:hint="eastAsia" w:ascii="微软雅黑" w:hAnsi="微软雅黑" w:eastAsia="微软雅黑" w:cs="微软雅黑"/>
          <w:color w:val="auto"/>
          <w:lang w:val="en-US" w:eastAsia="zh-CN"/>
        </w:rPr>
        <w:t>2</w:t>
      </w:r>
      <w:r>
        <w:rPr>
          <w:rFonts w:hint="eastAsia" w:ascii="微软雅黑" w:hAnsi="微软雅黑" w:eastAsia="微软雅黑" w:cs="微软雅黑"/>
          <w:color w:val="auto"/>
        </w:rPr>
        <w:t>套，其他安保护卫用具、值班登记等用具用品。</w:t>
      </w:r>
    </w:p>
    <w:p w14:paraId="7A25A1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6.供应商对其人员实行规范化管理，确保采购人对委托管理服务项目的综合满意率达到85％或以上。</w:t>
      </w:r>
    </w:p>
    <w:p w14:paraId="61BB84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7.负责服务区域内的安全防范保卫、治安巡查工作并处理各类突发事件（如医疗救援、群体性事件、自然灾害等）。</w:t>
      </w:r>
    </w:p>
    <w:p w14:paraId="788038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8.维护服务区域内的正常秩序，保障服务区域内人员的人身和财产安全，确保采购人的设施设备及各类财产不受损失，预防各类政治事件、刑事案件、治安事件和火灾事故的发生。</w:t>
      </w:r>
    </w:p>
    <w:p w14:paraId="608CA2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9.负责对服务区域进行流动巡查，对一些重点地段应加强巡查保护。</w:t>
      </w:r>
    </w:p>
    <w:p w14:paraId="383D3D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10.采购人可根据项目实际对服务内容进行增减及细化。</w:t>
      </w:r>
      <w:r>
        <w:rPr>
          <w:rFonts w:hint="eastAsia" w:ascii="微软雅黑" w:hAnsi="微软雅黑" w:eastAsia="微软雅黑" w:cs="微软雅黑"/>
          <w:lang w:eastAsia="zh-CN"/>
        </w:rPr>
        <w:t>如：</w:t>
      </w:r>
      <w:r>
        <w:rPr>
          <w:rFonts w:hint="eastAsia" w:ascii="微软雅黑" w:hAnsi="微软雅黑" w:eastAsia="微软雅黑" w:cs="微软雅黑"/>
        </w:rPr>
        <w:t>在开展保安服务期间会涉及到装修或改造工程，届时安保人员（至少</w:t>
      </w:r>
      <w:r>
        <w:rPr>
          <w:rFonts w:hint="eastAsia" w:ascii="微软雅黑" w:hAnsi="微软雅黑" w:eastAsia="微软雅黑" w:cs="微软雅黑"/>
          <w:lang w:val="en-US" w:eastAsia="zh-CN"/>
        </w:rPr>
        <w:t>1</w:t>
      </w:r>
      <w:r>
        <w:rPr>
          <w:rFonts w:hint="eastAsia" w:ascii="微软雅黑" w:hAnsi="微软雅黑" w:eastAsia="微软雅黑" w:cs="微软雅黑"/>
        </w:rPr>
        <w:t>名或以上安保人员兼职安全生产专职人员）作为采购人的秩序维护及安全人员，代替采购人行使安全生产监督人员之责，组织本单位安全生产教育和培训，如实记录安全生产教育培训状况。</w:t>
      </w:r>
    </w:p>
    <w:p w14:paraId="5A303B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（二）工作要求</w:t>
      </w:r>
    </w:p>
    <w:p w14:paraId="053885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1.治安管理</w:t>
      </w:r>
      <w:r>
        <w:rPr>
          <w:rFonts w:hint="eastAsia" w:ascii="微软雅黑" w:hAnsi="微软雅黑" w:eastAsia="微软雅黑" w:cs="微软雅黑"/>
          <w:sz w:val="21"/>
          <w:szCs w:val="21"/>
          <w:lang w:val="en-US" w:eastAsia="zh-CN"/>
        </w:rPr>
        <w:t>要求</w:t>
      </w:r>
    </w:p>
    <w:p w14:paraId="5A4417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（1）供应商应制定突发事件应急处理方案，医院若有紧急任务，如突发事件和火情发生，保安员应在最短的时间内赶到事发地点，医院不另行发给加班费；</w:t>
      </w:r>
    </w:p>
    <w:p w14:paraId="0EC9F57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供应商负责医院的治安巡逻：依照甲方设置巡更位置和频次，24小时监控，重点巡查门急诊区域、医院收费处、病区及其他公共区域。能及时发现和处理各种安全和事故隐患，并作好记录；在医院范围内开展（24小时）昼夜值班巡逻、守护，不迟到，不早退。保安提前10分钟到达交接地点，并认真做好交接班工作，并填报《安保值班交接记录表》</w:t>
      </w:r>
    </w:p>
    <w:p w14:paraId="0D13A8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供应商负责医院员</w:t>
      </w:r>
      <w:r>
        <w:rPr>
          <w:rFonts w:hint="eastAsia" w:ascii="微软雅黑" w:hAnsi="微软雅黑" w:eastAsia="微软雅黑" w:cs="微软雅黑"/>
          <w:sz w:val="21"/>
          <w:szCs w:val="21"/>
          <w:lang w:val="en-US" w:eastAsia="zh-CN"/>
        </w:rPr>
        <w:t>工</w:t>
      </w:r>
      <w:r>
        <w:rPr>
          <w:rFonts w:hint="eastAsia" w:ascii="微软雅黑" w:hAnsi="微软雅黑" w:eastAsia="微软雅黑" w:cs="微软雅黑"/>
          <w:sz w:val="21"/>
          <w:szCs w:val="21"/>
        </w:rPr>
        <w:t>工作时间的人身安全，一旦出现医患纠纷或突发事件，保安人员要1分钟内事发点就近队员必须到达现场确认情况，3分钟内当班班长、当班应急队员必须到达现场维持秩序，5分钟内其他队员到达现场处置，独立并有效制止在工作区域烧纸、摆花圈、拉横幅、设灵堂等影响医院形象干扰医院秩序的行为，必要时安保（公司）队员要求公安机关出面并有效积极配合。</w:t>
      </w:r>
    </w:p>
    <w:p w14:paraId="29A78F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维护医院的正常秩序，协助公安机关打击不法分子对医院的干扰，特别是对医托、发小广告、盗窃分子等的打击。</w:t>
      </w:r>
    </w:p>
    <w:p w14:paraId="56C92E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应急队员主要分布在门诊、急诊、巡逻，负责门急诊治安安全保障，应急事件处理，巡逻医院病区和外围，发现突发事件及时处理并报告保卫</w:t>
      </w:r>
      <w:r>
        <w:rPr>
          <w:rFonts w:hint="eastAsia" w:ascii="微软雅黑" w:hAnsi="微软雅黑" w:eastAsia="微软雅黑" w:cs="微软雅黑"/>
          <w:sz w:val="21"/>
          <w:szCs w:val="21"/>
          <w:lang w:val="en-US" w:eastAsia="zh-CN"/>
        </w:rPr>
        <w:t>处</w:t>
      </w:r>
      <w:r>
        <w:rPr>
          <w:rFonts w:hint="eastAsia" w:ascii="微软雅黑" w:hAnsi="微软雅黑" w:eastAsia="微软雅黑" w:cs="微软雅黑"/>
          <w:sz w:val="21"/>
          <w:szCs w:val="21"/>
        </w:rPr>
        <w:t>领导。</w:t>
      </w:r>
    </w:p>
    <w:p w14:paraId="675380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保持医院秩序良好、停车场道路畅通、车辆停放有序，实行人车分流</w:t>
      </w:r>
      <w:r>
        <w:rPr>
          <w:rFonts w:hint="eastAsia" w:ascii="微软雅黑" w:hAnsi="微软雅黑" w:eastAsia="微软雅黑" w:cs="微软雅黑"/>
          <w:sz w:val="21"/>
          <w:szCs w:val="21"/>
          <w:lang w:eastAsia="zh-CN"/>
        </w:rPr>
        <w:t>。</w:t>
      </w:r>
    </w:p>
    <w:p w14:paraId="1AAF82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熟悉医院内部环境，当接到一键式报警、电话报警、火灾报警等信号指令时，能够及时、准确到达事发地点，有效处置</w:t>
      </w:r>
      <w:r>
        <w:rPr>
          <w:rFonts w:hint="eastAsia" w:ascii="微软雅黑" w:hAnsi="微软雅黑" w:eastAsia="微软雅黑" w:cs="微软雅黑"/>
          <w:sz w:val="21"/>
          <w:szCs w:val="21"/>
          <w:lang w:eastAsia="zh-CN"/>
        </w:rPr>
        <w:t>。</w:t>
      </w:r>
    </w:p>
    <w:p w14:paraId="530806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切实做好防盗工作，防止医院设备设施、车棚内职工车辆等被盗</w:t>
      </w:r>
      <w:r>
        <w:rPr>
          <w:rFonts w:hint="eastAsia" w:ascii="微软雅黑" w:hAnsi="微软雅黑" w:eastAsia="微软雅黑" w:cs="微软雅黑"/>
          <w:sz w:val="21"/>
          <w:szCs w:val="21"/>
          <w:lang w:eastAsia="zh-CN"/>
        </w:rPr>
        <w:t>。</w:t>
      </w:r>
    </w:p>
    <w:p w14:paraId="5F5EA96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当医院有特殊任务时，如重大庆典活动、重大接待任务，保安要提前到位，维护秩序。</w:t>
      </w:r>
    </w:p>
    <w:p w14:paraId="0A8CC3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对重点办公区域来访人员进出进行登记，杜绝闲杂人员进入。</w:t>
      </w:r>
    </w:p>
    <w:p w14:paraId="586A60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住院部严格探视管理，非探视时间严格执行探视管理规则。</w:t>
      </w:r>
    </w:p>
    <w:p w14:paraId="1715CF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维护好院内的就诊秩序，必要时提醒医患人员注意财产、人身安全。及时制止一切危害就诊秩序及安全的行为。</w:t>
      </w:r>
    </w:p>
    <w:p w14:paraId="219583E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协助做好医院内违法犯罪行为等突发事件的处理工作，对制止无效的犯罪行为应立即报警，保护好现场，并协助公安机关查办案件。</w:t>
      </w:r>
    </w:p>
    <w:p w14:paraId="0879E9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值班期间应联防联守，与各岗位保持联系，对值班期间发现的问题，要进行沟通及时妥善处理。</w:t>
      </w:r>
    </w:p>
    <w:p w14:paraId="40C87B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15</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节能管理。安保人员在执勤巡逻过程中发现有未关闭的水、电、门、窗等要及时关闭，对损坏或无法关闭的要及时报管理部门进行处理。</w:t>
      </w:r>
    </w:p>
    <w:p w14:paraId="2874B5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16</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来院车辆停放及看管。对进入停车场的车辆要派人进行疏导及看护，不得堵塞消防通道及“120”绿色通道。发生车辆碰刮及车内物品被盗等均由供应商负责妥善处理。</w:t>
      </w:r>
    </w:p>
    <w:p w14:paraId="574233C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rPr>
      </w:pPr>
      <w:r>
        <w:rPr>
          <w:rFonts w:hint="eastAsia" w:ascii="微软雅黑" w:hAnsi="微软雅黑" w:eastAsia="微软雅黑" w:cs="微软雅黑"/>
          <w:b/>
          <w:bCs/>
        </w:rPr>
        <w:t>2.消防管理</w:t>
      </w:r>
      <w:r>
        <w:rPr>
          <w:rFonts w:hint="eastAsia" w:ascii="微软雅黑" w:hAnsi="微软雅黑" w:eastAsia="微软雅黑" w:cs="微软雅黑"/>
          <w:b/>
          <w:bCs/>
          <w:lang w:val="en-US" w:eastAsia="zh-CN"/>
        </w:rPr>
        <w:t>要求</w:t>
      </w:r>
    </w:p>
    <w:p w14:paraId="3497DF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rPr>
        <w:t>（1）</w:t>
      </w:r>
      <w:r>
        <w:rPr>
          <w:rFonts w:hint="eastAsia" w:ascii="微软雅黑" w:hAnsi="微软雅黑" w:eastAsia="微软雅黑" w:cs="微软雅黑"/>
          <w:lang w:eastAsia="zh-CN"/>
        </w:rPr>
        <w:t>供应商要建立严格的消防管理制度，健全各岗位消防职责，组建由保安人员构成的义务消防队，形成处置火灾有力、防控火灾层层落实、隐患排查及时的消防管理体系。</w:t>
      </w:r>
    </w:p>
    <w:p w14:paraId="3DAAA64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2</w:t>
      </w:r>
      <w:r>
        <w:rPr>
          <w:rFonts w:hint="eastAsia" w:ascii="微软雅黑" w:hAnsi="微软雅黑" w:eastAsia="微软雅黑" w:cs="微软雅黑"/>
          <w:lang w:eastAsia="zh-CN"/>
        </w:rPr>
        <w:t>）保安人员要经常参加消防知识培训及学习基本的操作规程，不断提高对医院消防安全的认识和实际技能的操作，新员工上岗前必须经过消防法规及消防常识培训。</w:t>
      </w:r>
    </w:p>
    <w:p w14:paraId="622504D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3</w:t>
      </w:r>
      <w:r>
        <w:rPr>
          <w:rFonts w:hint="eastAsia" w:ascii="微软雅黑" w:hAnsi="微软雅黑" w:eastAsia="微软雅黑" w:cs="微软雅黑"/>
          <w:lang w:eastAsia="zh-CN"/>
        </w:rPr>
        <w:t>）医院一旦出现火情，保安人员组成的义务消防队需第一时间赶赴现场并能有效正确实施灭火。一旦出现火情必须在1分钟内事发点就近队员到达现场确认火情，3分钟内义务消防队员到达火灾现场灭火，5分钟内疏散救援组队员到达现场展开疏散救援工作。</w:t>
      </w:r>
    </w:p>
    <w:p w14:paraId="4E1656D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）供应商确保院内各主要道路即消防通道、安全疏散出口通畅。</w:t>
      </w:r>
    </w:p>
    <w:p w14:paraId="39EBAA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5</w:t>
      </w:r>
      <w:r>
        <w:rPr>
          <w:rFonts w:hint="eastAsia" w:ascii="微软雅黑" w:hAnsi="微软雅黑" w:eastAsia="微软雅黑" w:cs="微软雅黑"/>
          <w:lang w:eastAsia="zh-CN"/>
        </w:rPr>
        <w:t>）供应商建立义务消防队，保证24小时快速反应，起到扑灭初期火灾及救护、疏散的作用。</w:t>
      </w:r>
    </w:p>
    <w:p w14:paraId="45A8C6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6</w:t>
      </w:r>
      <w:r>
        <w:rPr>
          <w:rFonts w:hint="eastAsia" w:ascii="微软雅黑" w:hAnsi="微软雅黑" w:eastAsia="微软雅黑" w:cs="微软雅黑"/>
          <w:lang w:eastAsia="zh-CN"/>
        </w:rPr>
        <w:t>）保安义务消防队每月至少训练一次并建立消防档案。</w:t>
      </w:r>
    </w:p>
    <w:p w14:paraId="4E26DD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7</w:t>
      </w:r>
      <w:r>
        <w:rPr>
          <w:rFonts w:hint="eastAsia" w:ascii="微软雅黑" w:hAnsi="微软雅黑" w:eastAsia="微软雅黑" w:cs="微软雅黑"/>
          <w:lang w:eastAsia="zh-CN"/>
        </w:rPr>
        <w:t>）每月进行一次消防安全检查，内部每季</w:t>
      </w:r>
      <w:r>
        <w:rPr>
          <w:rFonts w:hint="eastAsia" w:ascii="微软雅黑" w:hAnsi="微软雅黑" w:eastAsia="微软雅黑" w:cs="微软雅黑"/>
          <w:lang w:val="en-US" w:eastAsia="zh-CN"/>
        </w:rPr>
        <w:t>度</w:t>
      </w:r>
      <w:r>
        <w:rPr>
          <w:rFonts w:hint="eastAsia" w:ascii="微软雅黑" w:hAnsi="微软雅黑" w:eastAsia="微软雅黑" w:cs="微软雅黑"/>
          <w:lang w:eastAsia="zh-CN"/>
        </w:rPr>
        <w:t>进行一次消防演习，每年一次消防灭火疏散演习。</w:t>
      </w:r>
    </w:p>
    <w:p w14:paraId="46F44C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8</w:t>
      </w:r>
      <w:r>
        <w:rPr>
          <w:rFonts w:hint="eastAsia" w:ascii="微软雅黑" w:hAnsi="微软雅黑" w:eastAsia="微软雅黑" w:cs="微软雅黑"/>
          <w:lang w:eastAsia="zh-CN"/>
        </w:rPr>
        <w:t>）供应商要落实每日24小时防火巡查制度，每天派出安保人员对全院范围进行防火巡查，巡查内容有：</w:t>
      </w:r>
    </w:p>
    <w:p w14:paraId="5FA08F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1</w:t>
      </w:r>
      <w:r>
        <w:rPr>
          <w:rFonts w:hint="eastAsia" w:ascii="微软雅黑" w:hAnsi="微软雅黑" w:eastAsia="微软雅黑" w:cs="微软雅黑"/>
          <w:lang w:val="en-US" w:eastAsia="zh-CN"/>
        </w:rPr>
        <w:t>.</w:t>
      </w:r>
      <w:r>
        <w:rPr>
          <w:rFonts w:hint="eastAsia" w:ascii="微软雅黑" w:hAnsi="微软雅黑" w:eastAsia="微软雅黑" w:cs="微软雅黑"/>
          <w:lang w:eastAsia="zh-CN"/>
        </w:rPr>
        <w:t>用火、用电有无违章情况；</w:t>
      </w:r>
    </w:p>
    <w:p w14:paraId="5B1BC7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2</w:t>
      </w:r>
      <w:r>
        <w:rPr>
          <w:rFonts w:hint="eastAsia" w:ascii="微软雅黑" w:hAnsi="微软雅黑" w:eastAsia="微软雅黑" w:cs="微软雅黑"/>
          <w:lang w:val="en-US" w:eastAsia="zh-CN"/>
        </w:rPr>
        <w:t>.</w:t>
      </w:r>
      <w:r>
        <w:rPr>
          <w:rFonts w:hint="eastAsia" w:ascii="微软雅黑" w:hAnsi="微软雅黑" w:eastAsia="微软雅黑" w:cs="微软雅黑"/>
          <w:lang w:eastAsia="zh-CN"/>
        </w:rPr>
        <w:t>安全出口、疏散通道是否畅通，安全疏散指示标志、应急照明是否完好；</w:t>
      </w:r>
    </w:p>
    <w:p w14:paraId="75E24D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3</w:t>
      </w:r>
      <w:r>
        <w:rPr>
          <w:rFonts w:hint="eastAsia" w:ascii="微软雅黑" w:hAnsi="微软雅黑" w:eastAsia="微软雅黑" w:cs="微软雅黑"/>
          <w:lang w:val="en-US" w:eastAsia="zh-CN"/>
        </w:rPr>
        <w:t>.</w:t>
      </w:r>
      <w:r>
        <w:rPr>
          <w:rFonts w:hint="eastAsia" w:ascii="微软雅黑" w:hAnsi="微软雅黑" w:eastAsia="微软雅黑" w:cs="微软雅黑"/>
          <w:lang w:eastAsia="zh-CN"/>
        </w:rPr>
        <w:t>消防设施、器材和消防安全标志是否在位、完整；</w:t>
      </w:r>
    </w:p>
    <w:p w14:paraId="201C51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4</w:t>
      </w:r>
      <w:r>
        <w:rPr>
          <w:rFonts w:hint="eastAsia" w:ascii="微软雅黑" w:hAnsi="微软雅黑" w:eastAsia="微软雅黑" w:cs="微软雅黑"/>
          <w:lang w:val="en-US" w:eastAsia="zh-CN"/>
        </w:rPr>
        <w:t>.</w:t>
      </w:r>
      <w:r>
        <w:rPr>
          <w:rFonts w:hint="eastAsia" w:ascii="微软雅黑" w:hAnsi="微软雅黑" w:eastAsia="微软雅黑" w:cs="微软雅黑"/>
          <w:lang w:eastAsia="zh-CN"/>
        </w:rPr>
        <w:t>填写巡查记录，做到发现火灾隐患及时处置并报保卫办公室。</w:t>
      </w:r>
    </w:p>
    <w:p w14:paraId="75EC65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9</w:t>
      </w:r>
      <w:r>
        <w:rPr>
          <w:rFonts w:hint="eastAsia" w:ascii="微软雅黑" w:hAnsi="微软雅黑" w:eastAsia="微软雅黑" w:cs="微软雅黑"/>
          <w:lang w:eastAsia="zh-CN"/>
        </w:rPr>
        <w:t>）服从</w:t>
      </w:r>
      <w:r>
        <w:rPr>
          <w:rFonts w:hint="eastAsia" w:ascii="微软雅黑" w:hAnsi="微软雅黑" w:eastAsia="微软雅黑" w:cs="微软雅黑"/>
          <w:lang w:val="en-US" w:eastAsia="zh-CN"/>
        </w:rPr>
        <w:t>医院</w:t>
      </w:r>
      <w:r>
        <w:rPr>
          <w:rFonts w:hint="eastAsia" w:ascii="微软雅黑" w:hAnsi="微软雅黑" w:eastAsia="微软雅黑" w:cs="微软雅黑"/>
          <w:lang w:eastAsia="zh-CN"/>
        </w:rPr>
        <w:t>的消防监督管理。保安人员必须提高消防安全意识，必须具备：扑救初起火灾的能力；检查消除火灾隐患的能力；组织人员疏散逃生的能力；消防宣传教育培训能力。</w:t>
      </w:r>
    </w:p>
    <w:p w14:paraId="2F52A3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w:t>
      </w:r>
      <w:r>
        <w:rPr>
          <w:rFonts w:hint="eastAsia" w:ascii="微软雅黑" w:hAnsi="微软雅黑" w:eastAsia="微软雅黑" w:cs="微软雅黑"/>
          <w:b/>
          <w:bCs/>
          <w:sz w:val="21"/>
          <w:szCs w:val="21"/>
          <w:lang w:eastAsia="zh-CN"/>
        </w:rPr>
        <w:t>三</w:t>
      </w:r>
      <w:r>
        <w:rPr>
          <w:rFonts w:hint="eastAsia" w:ascii="微软雅黑" w:hAnsi="微软雅黑" w:eastAsia="微软雅黑" w:cs="微软雅黑"/>
          <w:b/>
          <w:bCs/>
          <w:sz w:val="21"/>
          <w:szCs w:val="21"/>
        </w:rPr>
        <w:t>）</w:t>
      </w:r>
      <w:r>
        <w:rPr>
          <w:rFonts w:hint="eastAsia" w:ascii="微软雅黑" w:hAnsi="微软雅黑" w:eastAsia="微软雅黑" w:cs="微软雅黑"/>
          <w:b/>
          <w:bCs/>
          <w:sz w:val="21"/>
          <w:szCs w:val="21"/>
          <w:lang w:val="en-US" w:eastAsia="zh-CN"/>
        </w:rPr>
        <w:t>人员基本要求</w:t>
      </w:r>
    </w:p>
    <w:p w14:paraId="42E8149E">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襄阳市中心医院万山分院总数控制在</w:t>
      </w:r>
      <w:r>
        <w:rPr>
          <w:rFonts w:hint="eastAsia" w:ascii="微软雅黑" w:hAnsi="微软雅黑" w:eastAsia="微软雅黑" w:cs="微软雅黑"/>
          <w:sz w:val="21"/>
          <w:szCs w:val="21"/>
          <w:lang w:val="en-US" w:eastAsia="zh-CN"/>
        </w:rPr>
        <w:t>7人，</w:t>
      </w:r>
      <w:r>
        <w:rPr>
          <w:rFonts w:hint="eastAsia" w:ascii="微软雅黑" w:hAnsi="微软雅黑" w:eastAsia="微软雅黑" w:cs="微软雅黑"/>
          <w:sz w:val="21"/>
          <w:szCs w:val="21"/>
          <w:lang w:eastAsia="zh-CN"/>
        </w:rPr>
        <w:t>因襄城区人民医院为新建院区，功能逐步开放，保安岗位需求、启用时间存在一定的不确定性，医院将根据实际情况对保安岗位予以合理的调整。医院将根据实际情况、服务内容和服务时间通知供应商配置保安岗位，供应商需立即配备足够的岗位人次。</w:t>
      </w:r>
    </w:p>
    <w:p w14:paraId="65079B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lang w:eastAsia="zh-CN"/>
        </w:rPr>
        <w:t>）普保人员年龄要求：</w:t>
      </w:r>
      <w:r>
        <w:rPr>
          <w:rFonts w:hint="eastAsia" w:ascii="微软雅黑" w:hAnsi="微软雅黑" w:eastAsia="微软雅黑" w:cs="微软雅黑"/>
          <w:color w:val="auto"/>
          <w:sz w:val="21"/>
          <w:szCs w:val="21"/>
          <w:lang w:val="en-US" w:eastAsia="zh-CN"/>
        </w:rPr>
        <w:t>55</w:t>
      </w:r>
      <w:r>
        <w:rPr>
          <w:rFonts w:hint="eastAsia" w:ascii="微软雅黑" w:hAnsi="微软雅黑" w:eastAsia="微软雅黑" w:cs="微软雅黑"/>
          <w:color w:val="auto"/>
          <w:sz w:val="21"/>
          <w:szCs w:val="21"/>
          <w:lang w:eastAsia="zh-CN"/>
        </w:rPr>
        <w:t>岁以下。</w:t>
      </w:r>
    </w:p>
    <w:p w14:paraId="65C6FC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）执勤时间要求：每天24小时全天候不间断执勤。</w:t>
      </w:r>
    </w:p>
    <w:p w14:paraId="090CC2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）国家及省市对部分岗位人员的资质有强制性规定或要求持有相应上岗证才能上岗服务的，则供应商必须确保其派驻本项目的各类人员与其承担的岗位和工作相适应，并具备规定的上岗证。</w:t>
      </w:r>
    </w:p>
    <w:p w14:paraId="0CB14A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）供应商应根据医院要求，选派政治素质好、工作积极、热</w:t>
      </w:r>
      <w:r>
        <w:rPr>
          <w:rFonts w:hint="eastAsia" w:ascii="微软雅黑" w:hAnsi="微软雅黑" w:eastAsia="微软雅黑" w:cs="微软雅黑"/>
          <w:sz w:val="21"/>
          <w:szCs w:val="21"/>
          <w:lang w:val="en-US" w:eastAsia="zh-CN"/>
        </w:rPr>
        <w:t>爱</w:t>
      </w:r>
      <w:r>
        <w:rPr>
          <w:rFonts w:hint="eastAsia" w:ascii="微软雅黑" w:hAnsi="微软雅黑" w:eastAsia="微软雅黑" w:cs="微软雅黑"/>
          <w:sz w:val="21"/>
          <w:szCs w:val="21"/>
          <w:lang w:eastAsia="zh-CN"/>
        </w:rPr>
        <w:t>保安工作，按医院要求设置岗位和工作时间等，负责院区的院内停车、门卫、巡逻、纠纷处理、消防等治安保卫安全防范工作，严格服从医院的安排和管理，遵守医院规章制度。</w:t>
      </w:r>
    </w:p>
    <w:p w14:paraId="5C5361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rPr>
      </w:pPr>
      <w:r>
        <w:rPr>
          <w:rFonts w:hint="eastAsia" w:ascii="微软雅黑" w:hAnsi="微软雅黑" w:eastAsia="微软雅黑" w:cs="微软雅黑"/>
          <w:b/>
          <w:bCs/>
        </w:rPr>
        <w:t>（</w:t>
      </w:r>
      <w:r>
        <w:rPr>
          <w:rFonts w:hint="eastAsia" w:ascii="微软雅黑" w:hAnsi="微软雅黑" w:eastAsia="微软雅黑" w:cs="微软雅黑"/>
          <w:b/>
          <w:bCs/>
          <w:lang w:eastAsia="zh-CN"/>
        </w:rPr>
        <w:t>四</w:t>
      </w:r>
      <w:r>
        <w:rPr>
          <w:rFonts w:hint="eastAsia" w:ascii="微软雅黑" w:hAnsi="微软雅黑" w:eastAsia="微软雅黑" w:cs="微软雅黑"/>
          <w:b/>
          <w:bCs/>
        </w:rPr>
        <w:t>） 着装设备及执勤规范要求</w:t>
      </w:r>
    </w:p>
    <w:p w14:paraId="2E7CE9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1</w:t>
      </w:r>
      <w:r>
        <w:rPr>
          <w:rFonts w:hint="eastAsia" w:ascii="微软雅黑" w:hAnsi="微软雅黑" w:eastAsia="微软雅黑" w:cs="微软雅黑"/>
          <w:lang w:eastAsia="zh-CN"/>
        </w:rPr>
        <w:t>）保安员执勤时应统一着装及警用设备（保安员服装、设备由供应商提供并承担费用），做到仪表端正、着装整齐、不留长发和胡子。</w:t>
      </w:r>
    </w:p>
    <w:p w14:paraId="17583E6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lang w:val="en-US" w:eastAsia="zh-CN"/>
        </w:rPr>
        <w:t>2</w:t>
      </w:r>
      <w:r>
        <w:rPr>
          <w:rFonts w:hint="eastAsia" w:ascii="微软雅黑" w:hAnsi="微软雅黑" w:eastAsia="微软雅黑" w:cs="微软雅黑"/>
          <w:color w:val="auto"/>
          <w:lang w:eastAsia="zh-CN"/>
        </w:rPr>
        <w:t>）供应商须根据医院要求提供足够保安人员使用的装备、防护器材、通讯设备等，如对讲机、武装带、甩棍、辣椒水、约束绳、盾牌、橡胶辊、钢叉、执法记录仪等。</w:t>
      </w:r>
    </w:p>
    <w:p w14:paraId="7998BEF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3</w:t>
      </w:r>
      <w:r>
        <w:rPr>
          <w:rFonts w:hint="eastAsia" w:ascii="微软雅黑" w:hAnsi="微软雅黑" w:eastAsia="微软雅黑" w:cs="微软雅黑"/>
          <w:lang w:eastAsia="zh-CN"/>
        </w:rPr>
        <w:t>）保安执勤时配置的对讲机应保证有良好的通讯功能，要求在全院范围内达到语音清晰响亮，可以及时响应。</w:t>
      </w:r>
    </w:p>
    <w:p w14:paraId="4B02B4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安检要求：供应商应根据公安及国家卫健委、省卫健委等上级主管部门要求，并结合分院实际情况，提供安检所需要的配套设备，手持式金属探测器等设备，同时对驻点的安保人员进行使用安检设备的相关培训，以便我院开展安检工作。</w:t>
      </w:r>
    </w:p>
    <w:p w14:paraId="162EDF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lang w:eastAsia="zh-CN"/>
        </w:rPr>
      </w:pPr>
      <w:r>
        <w:rPr>
          <w:rFonts w:hint="eastAsia" w:ascii="微软雅黑" w:hAnsi="微软雅黑" w:eastAsia="微软雅黑" w:cs="微软雅黑"/>
          <w:b/>
          <w:bCs/>
        </w:rPr>
        <w:t>（</w:t>
      </w:r>
      <w:r>
        <w:rPr>
          <w:rFonts w:hint="eastAsia" w:ascii="微软雅黑" w:hAnsi="微软雅黑" w:eastAsia="微软雅黑" w:cs="微软雅黑"/>
          <w:b/>
          <w:bCs/>
          <w:lang w:eastAsia="zh-CN"/>
        </w:rPr>
        <w:t>五</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执勤要求</w:t>
      </w:r>
    </w:p>
    <w:p w14:paraId="56046A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1.保安员必须加强法制观念，自觉遵守国家的法律、法规和条例，遵守工作纪律、医院的各项规章制度和员工守则。</w:t>
      </w:r>
    </w:p>
    <w:p w14:paraId="13B6C5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2.供应商派送的保安员执勤期间，应接受医院的监督。</w:t>
      </w:r>
    </w:p>
    <w:p w14:paraId="30B127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3.保安员应根据本合同约定的要求依法执勤、文明执勤、规范执勤，对保安服务现场应迸行不间断巡逻检查，及时防范和消除安全隐患。</w:t>
      </w:r>
    </w:p>
    <w:p w14:paraId="6748330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4.保安员执勤应恪守尽责，敢于同违法犯罪分子做坚决的斗争，维护医院的正常工作和医疗秩序。</w:t>
      </w:r>
    </w:p>
    <w:p w14:paraId="1AF1827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5.保安员执勤应振作精神，准时到岗，做到不迟到、不早退、不串岗、不漏更、不旷工。当班期间不得睡觉、玩手机、看书、看报、不得饮酒、吸烟，严禁赌博。</w:t>
      </w:r>
    </w:p>
    <w:p w14:paraId="06362F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6.交接时，保安员应认真做好交接工作，交接事项应详尽、准确地进行记录。</w:t>
      </w:r>
    </w:p>
    <w:p w14:paraId="4A0FFC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7.供应商自行负责其招聘员工的一切工资、福利，如发生工伤、疾病乃至死亡的一切责任及费用由供应商全部负责。供应商应严格遵守国家有关的法律、法规要求的标准。如</w:t>
      </w:r>
      <w:r>
        <w:rPr>
          <w:rFonts w:hint="eastAsia" w:ascii="微软雅黑" w:hAnsi="微软雅黑" w:eastAsia="微软雅黑" w:cs="微软雅黑"/>
          <w:lang w:val="en-US" w:eastAsia="zh-CN"/>
        </w:rPr>
        <w:t>因</w:t>
      </w:r>
      <w:r>
        <w:rPr>
          <w:rFonts w:hint="eastAsia" w:ascii="微软雅黑" w:hAnsi="微软雅黑" w:eastAsia="微软雅黑" w:cs="微软雅黑"/>
          <w:lang w:eastAsia="zh-CN"/>
        </w:rPr>
        <w:t>供应商原因造成第三方损失的，一切责任及费用由供应商负全责。</w:t>
      </w:r>
    </w:p>
    <w:p w14:paraId="53AE63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8.除认真执行医院的规章制度外，还应做到：</w:t>
      </w:r>
    </w:p>
    <w:p w14:paraId="3C7BCAB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（1）遇上级领导来医院视察、新闻媒体来医院采访、兄弟单位来医院联系工作等，都要热情接待，并立即向医院保卫</w:t>
      </w:r>
      <w:r>
        <w:rPr>
          <w:rFonts w:hint="eastAsia" w:ascii="微软雅黑" w:hAnsi="微软雅黑" w:eastAsia="微软雅黑" w:cs="微软雅黑"/>
          <w:lang w:val="en-US" w:eastAsia="zh-CN"/>
        </w:rPr>
        <w:t>处</w:t>
      </w:r>
      <w:r>
        <w:rPr>
          <w:rFonts w:hint="eastAsia" w:ascii="微软雅黑" w:hAnsi="微软雅黑" w:eastAsia="微软雅黑" w:cs="微软雅黑"/>
          <w:lang w:eastAsia="zh-CN"/>
        </w:rPr>
        <w:t>负责人或总值班报告。</w:t>
      </w:r>
    </w:p>
    <w:p w14:paraId="657B7E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（2）遇打架斗殴、医疗纠纷、盗窃事件时，应立即向医院保卫</w:t>
      </w:r>
      <w:r>
        <w:rPr>
          <w:rFonts w:hint="eastAsia" w:ascii="微软雅黑" w:hAnsi="微软雅黑" w:eastAsia="微软雅黑" w:cs="微软雅黑"/>
          <w:lang w:val="en-US" w:eastAsia="zh-CN"/>
        </w:rPr>
        <w:t>处</w:t>
      </w:r>
      <w:r>
        <w:rPr>
          <w:rFonts w:hint="eastAsia" w:ascii="微软雅黑" w:hAnsi="微软雅黑" w:eastAsia="微软雅黑" w:cs="微软雅黑"/>
          <w:lang w:eastAsia="zh-CN"/>
        </w:rPr>
        <w:t>负责人或总值班报告。</w:t>
      </w:r>
    </w:p>
    <w:p w14:paraId="25C641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（六）岗位及职责要求</w:t>
      </w:r>
    </w:p>
    <w:p w14:paraId="29ABFF9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1.保安队长</w:t>
      </w:r>
    </w:p>
    <w:p w14:paraId="0FDE60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（1）具有较高素质和管理水平，负责对保安队伍的管理，积极主动的维护医院正常的医疗秩序、消防安全、治安安全，提出合理化的建议和思路，为医院保安工作做出应有的贡献。</w:t>
      </w:r>
    </w:p>
    <w:p w14:paraId="72E270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（2）每天不定时检查各保安岗位的人员及值勤情况，发现有违规情况及时严肃处理，并做好保安人员的思想纠正、教育工作，杜绝类似情况再次发生。</w:t>
      </w:r>
    </w:p>
    <w:p w14:paraId="503267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（3）对于保安队伍存在的问题情况等应及时汇报保安公司和医院保卫</w:t>
      </w:r>
      <w:r>
        <w:rPr>
          <w:rFonts w:hint="eastAsia" w:ascii="微软雅黑" w:hAnsi="微软雅黑" w:eastAsia="微软雅黑" w:cs="微软雅黑"/>
          <w:lang w:val="en-US" w:eastAsia="zh-CN"/>
        </w:rPr>
        <w:t>处</w:t>
      </w:r>
      <w:r>
        <w:rPr>
          <w:rFonts w:hint="eastAsia" w:ascii="微软雅黑" w:hAnsi="微软雅黑" w:eastAsia="微软雅黑" w:cs="微软雅黑"/>
          <w:lang w:eastAsia="zh-CN"/>
        </w:rPr>
        <w:t>，并提出合理的解决意见，遇到突发事件，保安队长应及时前往事发地点了解情况，妥善处理，如遇不可处理的及时汇报保卫</w:t>
      </w:r>
      <w:r>
        <w:rPr>
          <w:rFonts w:hint="eastAsia" w:ascii="微软雅黑" w:hAnsi="微软雅黑" w:eastAsia="微软雅黑" w:cs="微软雅黑"/>
          <w:lang w:val="en-US" w:eastAsia="zh-CN"/>
        </w:rPr>
        <w:t>处</w:t>
      </w:r>
      <w:r>
        <w:rPr>
          <w:rFonts w:hint="eastAsia" w:ascii="微软雅黑" w:hAnsi="微软雅黑" w:eastAsia="微软雅黑" w:cs="微软雅黑"/>
          <w:lang w:eastAsia="zh-CN"/>
        </w:rPr>
        <w:t>。</w:t>
      </w:r>
    </w:p>
    <w:p w14:paraId="1D324A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（4）每月一次向保卫</w:t>
      </w:r>
      <w:r>
        <w:rPr>
          <w:rFonts w:hint="eastAsia" w:ascii="微软雅黑" w:hAnsi="微软雅黑" w:eastAsia="微软雅黑" w:cs="微软雅黑"/>
          <w:lang w:val="en-US" w:eastAsia="zh-CN"/>
        </w:rPr>
        <w:t>处</w:t>
      </w:r>
      <w:r>
        <w:rPr>
          <w:rFonts w:hint="eastAsia" w:ascii="微软雅黑" w:hAnsi="微软雅黑" w:eastAsia="微软雅黑" w:cs="微软雅黑"/>
          <w:lang w:eastAsia="zh-CN"/>
        </w:rPr>
        <w:t>汇报保安工作情况，及时完成保卫</w:t>
      </w:r>
      <w:r>
        <w:rPr>
          <w:rFonts w:hint="eastAsia" w:ascii="微软雅黑" w:hAnsi="微软雅黑" w:eastAsia="微软雅黑" w:cs="微软雅黑"/>
          <w:lang w:val="en-US" w:eastAsia="zh-CN"/>
        </w:rPr>
        <w:t>处</w:t>
      </w:r>
      <w:r>
        <w:rPr>
          <w:rFonts w:hint="eastAsia" w:ascii="微软雅黑" w:hAnsi="微软雅黑" w:eastAsia="微软雅黑" w:cs="微软雅黑"/>
          <w:lang w:eastAsia="zh-CN"/>
        </w:rPr>
        <w:t>交办的各项任务，做好保安人员的排班工作，无充分理由不得随意更换队内保安人员，如确实需要更换的应及时把保安人员更换信息上报保卫</w:t>
      </w:r>
      <w:r>
        <w:rPr>
          <w:rFonts w:hint="eastAsia" w:ascii="微软雅黑" w:hAnsi="微软雅黑" w:eastAsia="微软雅黑" w:cs="微软雅黑"/>
          <w:lang w:val="en-US" w:eastAsia="zh-CN"/>
        </w:rPr>
        <w:t>处</w:t>
      </w:r>
      <w:r>
        <w:rPr>
          <w:rFonts w:hint="eastAsia" w:ascii="微软雅黑" w:hAnsi="微软雅黑" w:eastAsia="微软雅黑" w:cs="微软雅黑"/>
          <w:lang w:eastAsia="zh-CN"/>
        </w:rPr>
        <w:t>。</w:t>
      </w:r>
    </w:p>
    <w:p w14:paraId="4D113C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5</w:t>
      </w:r>
      <w:r>
        <w:rPr>
          <w:rFonts w:hint="eastAsia" w:ascii="微软雅黑" w:hAnsi="微软雅黑" w:eastAsia="微软雅黑" w:cs="微软雅黑"/>
          <w:lang w:eastAsia="zh-CN"/>
        </w:rPr>
        <w:t>）具备较强的沟通协调以及语言表达能力。工作有条理，有责任心，办事严谨。</w:t>
      </w:r>
    </w:p>
    <w:p w14:paraId="67090F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6</w:t>
      </w:r>
      <w:r>
        <w:rPr>
          <w:rFonts w:hint="eastAsia" w:ascii="微软雅黑" w:hAnsi="微软雅黑" w:eastAsia="微软雅黑" w:cs="微软雅黑"/>
          <w:lang w:eastAsia="zh-CN"/>
        </w:rPr>
        <w:t>）对新入职的保安进行业务培训，培训合格和方能上岗。</w:t>
      </w:r>
    </w:p>
    <w:p w14:paraId="75BB2D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7</w:t>
      </w:r>
      <w:r>
        <w:rPr>
          <w:rFonts w:hint="eastAsia" w:ascii="微软雅黑" w:hAnsi="微软雅黑" w:eastAsia="微软雅黑" w:cs="微软雅黑"/>
          <w:lang w:eastAsia="zh-CN"/>
        </w:rPr>
        <w:t>）每月向保卫</w:t>
      </w:r>
      <w:r>
        <w:rPr>
          <w:rFonts w:hint="eastAsia" w:ascii="微软雅黑" w:hAnsi="微软雅黑" w:eastAsia="微软雅黑" w:cs="微软雅黑"/>
          <w:lang w:val="en-US" w:eastAsia="zh-CN"/>
        </w:rPr>
        <w:t>处</w:t>
      </w:r>
      <w:r>
        <w:rPr>
          <w:rFonts w:hint="eastAsia" w:ascii="微软雅黑" w:hAnsi="微软雅黑" w:eastAsia="微软雅黑" w:cs="微软雅黑"/>
          <w:lang w:eastAsia="zh-CN"/>
        </w:rPr>
        <w:t>提交保安队员工作考核表。</w:t>
      </w:r>
    </w:p>
    <w:p w14:paraId="4C7AF3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8</w:t>
      </w:r>
      <w:r>
        <w:rPr>
          <w:rFonts w:hint="eastAsia" w:ascii="微软雅黑" w:hAnsi="微软雅黑" w:eastAsia="微软雅黑" w:cs="微软雅黑"/>
          <w:lang w:eastAsia="zh-CN"/>
        </w:rPr>
        <w:t>）每月一次向保安队长汇报保安工作情况，及时完成上级交办的各项任务，做好保安人员的排班工作，无充分理由不得随意批准调班，如确实需要调班的应及时把保安人员更换信息上报医院保卫处。</w:t>
      </w:r>
    </w:p>
    <w:p w14:paraId="5AF55D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9</w:t>
      </w:r>
      <w:r>
        <w:rPr>
          <w:rFonts w:hint="eastAsia" w:ascii="微软雅黑" w:hAnsi="微软雅黑" w:eastAsia="微软雅黑" w:cs="微软雅黑"/>
          <w:lang w:eastAsia="zh-CN"/>
        </w:rPr>
        <w:t>）医院交办的其他事宜。</w:t>
      </w:r>
    </w:p>
    <w:p w14:paraId="53F3117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lang w:eastAsia="zh-CN"/>
        </w:rPr>
      </w:pPr>
      <w:r>
        <w:rPr>
          <w:rFonts w:hint="eastAsia" w:ascii="微软雅黑" w:hAnsi="微软雅黑" w:eastAsia="微软雅黑" w:cs="微软雅黑"/>
          <w:b/>
          <w:bCs/>
          <w:lang w:val="en-US" w:eastAsia="zh-CN"/>
        </w:rPr>
        <w:t>2</w:t>
      </w:r>
      <w:r>
        <w:rPr>
          <w:rFonts w:hint="eastAsia" w:ascii="微软雅黑" w:hAnsi="微软雅黑" w:eastAsia="微软雅黑" w:cs="微软雅黑"/>
          <w:b/>
          <w:bCs/>
          <w:lang w:eastAsia="zh-CN"/>
        </w:rPr>
        <w:t>.医院出入口及门岗职责</w:t>
      </w:r>
    </w:p>
    <w:p w14:paraId="07BBEAE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做好门口车辆引导工作。加强医院大门的管理，及时与车辆管理保安人员联系，掌握好车位数量，控制好车辆进出。制止和清理门前无关车辆的停放，对进出大门的车辆进行指挥，保障道路畅通。做好院内三车管理，规范三车停放。</w:t>
      </w:r>
    </w:p>
    <w:p w14:paraId="578296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r>
        <w:rPr>
          <w:rFonts w:hint="eastAsia" w:ascii="微软雅黑" w:hAnsi="微软雅黑" w:eastAsia="微软雅黑" w:cs="微软雅黑"/>
          <w:lang w:eastAsia="zh-CN"/>
        </w:rPr>
        <w:t>没有车位时，认真解释，及时安排、引导车辆停车。</w:t>
      </w:r>
      <w:r>
        <w:rPr>
          <w:rFonts w:hint="eastAsia" w:ascii="微软雅黑" w:hAnsi="微软雅黑" w:eastAsia="微软雅黑" w:cs="微软雅黑"/>
          <w:lang w:val="en-US" w:eastAsia="zh-CN"/>
        </w:rPr>
        <w:t>疏导入口处车辆，以免造成消防及急救通道堵塞；</w:t>
      </w:r>
    </w:p>
    <w:p w14:paraId="06696B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（3）对提前报备的外协单位车辆确认放行，并做好登记；</w:t>
      </w:r>
    </w:p>
    <w:p w14:paraId="6D0F400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（4）对急诊、120、特种车辆（军车、警车、银行押款车、救援车）进行确认放行，并做好登记；</w:t>
      </w:r>
    </w:p>
    <w:p w14:paraId="75FDB81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（5）如遇停电、断网及设备故障情况及时上报，并按应急流程处理车辆进入事宜。</w:t>
      </w:r>
    </w:p>
    <w:p w14:paraId="7988D69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（6）按规定做好交接班工作，填写交接班记录本。</w:t>
      </w:r>
    </w:p>
    <w:p w14:paraId="35C2A3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7</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出入口</w:t>
      </w:r>
      <w:r>
        <w:rPr>
          <w:rFonts w:hint="eastAsia" w:ascii="微软雅黑" w:hAnsi="微软雅黑" w:eastAsia="微软雅黑" w:cs="微软雅黑"/>
          <w:lang w:eastAsia="zh-CN"/>
        </w:rPr>
        <w:t>禁止停放自行车，电动车。做好医院大门、各楼层安全巡视，及时处理存在的安全隐患。</w:t>
      </w:r>
    </w:p>
    <w:p w14:paraId="652141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8）处置突发事件，完成上级临时交办的其它工作任务。</w:t>
      </w:r>
    </w:p>
    <w:p w14:paraId="005C85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lang w:eastAsia="zh-CN"/>
        </w:rPr>
      </w:pPr>
      <w:r>
        <w:rPr>
          <w:rFonts w:hint="eastAsia" w:ascii="微软雅黑" w:hAnsi="微软雅黑" w:eastAsia="微软雅黑" w:cs="微软雅黑"/>
          <w:b/>
          <w:bCs/>
          <w:lang w:val="en-US" w:eastAsia="zh-CN"/>
        </w:rPr>
        <w:t>3</w:t>
      </w:r>
      <w:r>
        <w:rPr>
          <w:rFonts w:hint="eastAsia" w:ascii="微软雅黑" w:hAnsi="微软雅黑" w:eastAsia="微软雅黑" w:cs="微软雅黑"/>
          <w:b/>
          <w:bCs/>
          <w:lang w:eastAsia="zh-CN"/>
        </w:rPr>
        <w:t>.巡逻保安岗位</w:t>
      </w:r>
    </w:p>
    <w:p w14:paraId="1EB9CB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1）对院区范围内实行24小时不间断巡逻，对散发非法医疗广告、医托及小偷进行驱赶、抓获，及时汇报并妥善处理。对院区内发生的一些治安事件，及时带至医院警务室处理。发现医院某些角落有杂物的应立即报告队长或保卫</w:t>
      </w:r>
      <w:r>
        <w:rPr>
          <w:rFonts w:hint="eastAsia" w:ascii="微软雅黑" w:hAnsi="微软雅黑" w:eastAsia="微软雅黑" w:cs="微软雅黑"/>
          <w:lang w:val="en-US" w:eastAsia="zh-CN"/>
        </w:rPr>
        <w:t>处</w:t>
      </w:r>
      <w:r>
        <w:rPr>
          <w:rFonts w:hint="eastAsia" w:ascii="微软雅黑" w:hAnsi="微软雅黑" w:eastAsia="微软雅黑" w:cs="微软雅黑"/>
          <w:lang w:eastAsia="zh-CN"/>
        </w:rPr>
        <w:t>，再做处理。</w:t>
      </w:r>
    </w:p>
    <w:p w14:paraId="1547EB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（2）进行每日消防安全检查，并做好巡视记录。发现各种安全隐患或医院工作场所有非机动车停放的，及时处理并报告队长和保卫</w:t>
      </w:r>
      <w:r>
        <w:rPr>
          <w:rFonts w:hint="eastAsia" w:ascii="微软雅黑" w:hAnsi="微软雅黑" w:eastAsia="微软雅黑" w:cs="微软雅黑"/>
          <w:lang w:val="en-US" w:eastAsia="zh-CN"/>
        </w:rPr>
        <w:t>处</w:t>
      </w:r>
      <w:r>
        <w:rPr>
          <w:rFonts w:hint="eastAsia" w:ascii="微软雅黑" w:hAnsi="微软雅黑" w:eastAsia="微软雅黑" w:cs="微软雅黑"/>
          <w:lang w:eastAsia="zh-CN"/>
        </w:rPr>
        <w:t>。</w:t>
      </w:r>
    </w:p>
    <w:p w14:paraId="0D7AE2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（3）遇重大突发事件或医院发生医疗纠纷时，保安人员应全力稳定局势，并立即向医院保卫</w:t>
      </w:r>
      <w:r>
        <w:rPr>
          <w:rFonts w:hint="eastAsia" w:ascii="微软雅黑" w:hAnsi="微软雅黑" w:eastAsia="微软雅黑" w:cs="微软雅黑"/>
          <w:lang w:val="en-US" w:eastAsia="zh-CN"/>
        </w:rPr>
        <w:t>处</w:t>
      </w:r>
      <w:r>
        <w:rPr>
          <w:rFonts w:hint="eastAsia" w:ascii="微软雅黑" w:hAnsi="微软雅黑" w:eastAsia="微软雅黑" w:cs="微软雅黑"/>
          <w:lang w:eastAsia="zh-CN"/>
        </w:rPr>
        <w:t>领导、总值班室报告或拨打110报警。</w:t>
      </w:r>
    </w:p>
    <w:p w14:paraId="2FE493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（4）巡逻时若有病人需要指引或其他帮助时，应主动热情的提供帮助，不能解决的则负责联系导诊台或其他相关部门。对院区内实行不间断巡逻，发现可疑人员进行询问，对有作案嫌疑的送医院保卫</w:t>
      </w:r>
      <w:r>
        <w:rPr>
          <w:rFonts w:hint="eastAsia" w:ascii="微软雅黑" w:hAnsi="微软雅黑" w:eastAsia="微软雅黑" w:cs="微软雅黑"/>
          <w:lang w:val="en-US" w:eastAsia="zh-CN"/>
        </w:rPr>
        <w:t>处</w:t>
      </w:r>
      <w:r>
        <w:rPr>
          <w:rFonts w:hint="eastAsia" w:ascii="微软雅黑" w:hAnsi="微软雅黑" w:eastAsia="微软雅黑" w:cs="微软雅黑"/>
          <w:lang w:eastAsia="zh-CN"/>
        </w:rPr>
        <w:t>处理。</w:t>
      </w:r>
    </w:p>
    <w:p w14:paraId="5CF38C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（5）加强对门诊部、住院部的巡视。</w:t>
      </w:r>
    </w:p>
    <w:p w14:paraId="6AB9E9C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（6）医院下班后，保安员应及时检查各科室、办公室、病区、仓库的门锁情况，发现未上锁等异常情况的，记录情况并向医院总值班室报告情况。</w:t>
      </w:r>
    </w:p>
    <w:p w14:paraId="7996DF5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7）</w:t>
      </w:r>
      <w:r>
        <w:rPr>
          <w:rFonts w:hint="eastAsia" w:ascii="微软雅黑" w:hAnsi="微软雅黑" w:eastAsia="微软雅黑" w:cs="微软雅黑"/>
          <w:lang w:eastAsia="zh-CN"/>
        </w:rPr>
        <w:t>进行每日消防安全检查，并做好巡视记录。发现各种安全隐患的，及时处理并报告队长。检查院区内</w:t>
      </w:r>
      <w:r>
        <w:rPr>
          <w:rFonts w:hint="eastAsia" w:ascii="微软雅黑" w:hAnsi="微软雅黑" w:eastAsia="微软雅黑" w:cs="微软雅黑"/>
          <w:lang w:val="en-US" w:eastAsia="zh-CN"/>
        </w:rPr>
        <w:t>消防设施</w:t>
      </w:r>
      <w:r>
        <w:rPr>
          <w:rFonts w:hint="eastAsia" w:ascii="微软雅黑" w:hAnsi="微软雅黑" w:eastAsia="微软雅黑" w:cs="微软雅黑"/>
          <w:lang w:eastAsia="zh-CN"/>
        </w:rPr>
        <w:t>有无损坏，及时关闭门窗及门禁设施，如有损坏，及时</w:t>
      </w:r>
      <w:r>
        <w:rPr>
          <w:rFonts w:hint="eastAsia" w:ascii="微软雅黑" w:hAnsi="微软雅黑" w:eastAsia="微软雅黑" w:cs="微软雅黑"/>
          <w:lang w:val="en-US" w:eastAsia="zh-CN"/>
        </w:rPr>
        <w:t>上报</w:t>
      </w:r>
      <w:r>
        <w:rPr>
          <w:rFonts w:hint="eastAsia" w:ascii="微软雅黑" w:hAnsi="微软雅黑" w:eastAsia="微软雅黑" w:cs="微软雅黑"/>
          <w:lang w:eastAsia="zh-CN"/>
        </w:rPr>
        <w:t>维修。巡逻时发现有违规装修及用火、用电行为，应立即通知对长；加强对各楼层的巡视，巡视必须包括未开放楼层。医院门诊下班后，应检查各科室、办公室、仓库的门锁情况，并及时关闭门诊区域灯。</w:t>
      </w:r>
    </w:p>
    <w:p w14:paraId="19B60E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8</w:t>
      </w:r>
      <w:r>
        <w:rPr>
          <w:rFonts w:hint="eastAsia" w:ascii="微软雅黑" w:hAnsi="微软雅黑" w:eastAsia="微软雅黑" w:cs="微软雅黑"/>
          <w:lang w:eastAsia="zh-CN"/>
        </w:rPr>
        <w:t>）巡逻时发现本院职工或病患有困难的，要提供及时帮助。如果帮助影响到正常巡逻工作开展时，应通知队长，队长将根据实际情况，判断是否可以调度。巡逻保安员须在征得对长同意后实施帮助。如因实际情况不能进行帮助的，应向外来人员合理解释。</w:t>
      </w:r>
    </w:p>
    <w:p w14:paraId="65DF42E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9</w:t>
      </w:r>
      <w:r>
        <w:rPr>
          <w:rFonts w:hint="eastAsia" w:ascii="微软雅黑" w:hAnsi="微软雅黑" w:eastAsia="微软雅黑" w:cs="微软雅黑"/>
          <w:lang w:eastAsia="zh-CN"/>
        </w:rPr>
        <w:t>）负责全院区域突发事件的支援和上级领导交办的其他任务。</w:t>
      </w:r>
    </w:p>
    <w:p w14:paraId="53E6D4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lang w:eastAsia="zh-CN"/>
        </w:rPr>
      </w:pPr>
      <w:r>
        <w:rPr>
          <w:rFonts w:hint="eastAsia" w:ascii="微软雅黑" w:hAnsi="微软雅黑" w:eastAsia="微软雅黑" w:cs="微软雅黑"/>
          <w:b/>
          <w:bCs/>
          <w:lang w:val="en-US" w:eastAsia="zh-CN"/>
        </w:rPr>
        <w:t>4</w:t>
      </w:r>
      <w:r>
        <w:rPr>
          <w:rFonts w:hint="eastAsia" w:ascii="微软雅黑" w:hAnsi="微软雅黑" w:eastAsia="微软雅黑" w:cs="微软雅黑"/>
          <w:b/>
          <w:bCs/>
          <w:lang w:eastAsia="zh-CN"/>
        </w:rPr>
        <w:t>.停车场路面保安岗位</w:t>
      </w:r>
    </w:p>
    <w:p w14:paraId="3B161C5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1）负责路面各区域交通引导，避免因工作不到位或疏忽引起的道路堵塞、车辆碰撞刮擦等情况，控制车辆在院内的逆向行驶，避免车辆拥堵。及时掌握院内车位数量，指挥车辆放行，没有车位时，认真解释，及时安排、引导车辆停车。</w:t>
      </w:r>
    </w:p>
    <w:p w14:paraId="2541E7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（2）负责引导车辆有序停放，完成机动车辆的停放和车辆秩序管理，做好合理有序停放车辆和车辆停放引导工作。</w:t>
      </w:r>
    </w:p>
    <w:p w14:paraId="083E81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（3）引导货车规范停放至货车专用停车区域，注意货车停放时的交通安全。</w:t>
      </w:r>
    </w:p>
    <w:p w14:paraId="4A0365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eastAsia="zh-CN"/>
        </w:rPr>
        <w:t>（4）及时用对讲机通知路面剩余车位情况。</w:t>
      </w:r>
    </w:p>
    <w:p w14:paraId="43CB812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5</w:t>
      </w:r>
      <w:r>
        <w:rPr>
          <w:rFonts w:hint="eastAsia" w:ascii="微软雅黑" w:hAnsi="微软雅黑" w:eastAsia="微软雅黑" w:cs="微软雅黑"/>
          <w:lang w:eastAsia="zh-CN"/>
        </w:rPr>
        <w:t>）负责</w:t>
      </w:r>
      <w:r>
        <w:rPr>
          <w:rFonts w:hint="eastAsia" w:ascii="微软雅黑" w:hAnsi="微软雅黑" w:eastAsia="微软雅黑" w:cs="微软雅黑"/>
          <w:lang w:val="en-US" w:eastAsia="zh-CN"/>
        </w:rPr>
        <w:t>停车引导</w:t>
      </w:r>
      <w:r>
        <w:rPr>
          <w:rFonts w:hint="eastAsia" w:ascii="微软雅黑" w:hAnsi="微软雅黑" w:eastAsia="微软雅黑" w:cs="微软雅黑"/>
          <w:lang w:eastAsia="zh-CN"/>
        </w:rPr>
        <w:t>的保安人员，要仔细引导车辆停放，杜绝因疏忽、引导不当而引起的车辆损坏等事故，如因操作不当出现车辆损坏或其他事故，造成的损失由供应商负责。</w:t>
      </w:r>
    </w:p>
    <w:p w14:paraId="5C49DA6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6</w:t>
      </w:r>
      <w:r>
        <w:rPr>
          <w:rFonts w:hint="eastAsia" w:ascii="微软雅黑" w:hAnsi="微软雅黑" w:eastAsia="微软雅黑" w:cs="微软雅黑"/>
          <w:lang w:eastAsia="zh-CN"/>
        </w:rPr>
        <w:t>）负责车辆引导的保安人员要合理的引导车辆，按医院车辆停放规则引导，并及时将车位情况与大门、地面保安人员联系。</w:t>
      </w:r>
    </w:p>
    <w:p w14:paraId="06E8FC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7</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对院内的三车停放进行管理，严禁院内电动车飞线充电。</w:t>
      </w:r>
    </w:p>
    <w:p w14:paraId="37A812A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8</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处置突发事件，完成上级交办的其他任务。</w:t>
      </w:r>
    </w:p>
    <w:p w14:paraId="12092F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lang w:eastAsia="zh-CN"/>
        </w:rPr>
      </w:pPr>
      <w:r>
        <w:rPr>
          <w:rFonts w:hint="eastAsia" w:ascii="微软雅黑" w:hAnsi="微软雅黑" w:eastAsia="微软雅黑" w:cs="微软雅黑"/>
          <w:b/>
          <w:bCs/>
          <w:lang w:val="en-US" w:eastAsia="zh-CN"/>
        </w:rPr>
        <w:t>5</w:t>
      </w:r>
      <w:r>
        <w:rPr>
          <w:rFonts w:hint="eastAsia" w:ascii="微软雅黑" w:hAnsi="微软雅黑" w:eastAsia="微软雅黑" w:cs="微软雅黑"/>
          <w:b/>
          <w:bCs/>
          <w:lang w:eastAsia="zh-CN"/>
        </w:rPr>
        <w:t>.</w:t>
      </w:r>
      <w:r>
        <w:rPr>
          <w:rFonts w:hint="eastAsia" w:ascii="微软雅黑" w:hAnsi="微软雅黑" w:eastAsia="微软雅黑" w:cs="微软雅黑"/>
          <w:b/>
          <w:bCs/>
          <w:lang w:val="en-US" w:eastAsia="zh-CN"/>
        </w:rPr>
        <w:t>门前秩序引导</w:t>
      </w:r>
      <w:r>
        <w:rPr>
          <w:rFonts w:hint="eastAsia" w:ascii="微软雅黑" w:hAnsi="微软雅黑" w:eastAsia="微软雅黑" w:cs="微软雅黑"/>
          <w:b/>
          <w:bCs/>
          <w:lang w:eastAsia="zh-CN"/>
        </w:rPr>
        <w:t>岗位</w:t>
      </w:r>
    </w:p>
    <w:p w14:paraId="4839AC3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eastAsia="zh-CN"/>
        </w:rPr>
        <w:t>（1）</w:t>
      </w:r>
      <w:r>
        <w:rPr>
          <w:rFonts w:hint="eastAsia" w:ascii="微软雅黑" w:hAnsi="微软雅黑" w:eastAsia="微软雅黑" w:cs="微软雅黑"/>
          <w:lang w:val="en-US" w:eastAsia="zh-CN"/>
        </w:rPr>
        <w:t>对医院门前的三车停放按照创文工作的要求进行秩序引导，协助手脚不方便的病人进行停放。</w:t>
      </w:r>
    </w:p>
    <w:p w14:paraId="02C5C10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（2）提醒停放</w:t>
      </w:r>
      <w:r>
        <w:rPr>
          <w:rFonts w:hint="eastAsia" w:ascii="微软雅黑" w:hAnsi="微软雅黑" w:eastAsia="微软雅黑" w:cs="微软雅黑"/>
          <w:lang w:val="en-US" w:eastAsia="zh-CN"/>
        </w:rPr>
        <w:t>三</w:t>
      </w:r>
      <w:r>
        <w:rPr>
          <w:rFonts w:hint="eastAsia" w:ascii="微软雅黑" w:hAnsi="微软雅黑" w:eastAsia="微软雅黑" w:cs="微软雅黑"/>
          <w:lang w:eastAsia="zh-CN"/>
        </w:rPr>
        <w:t>车的车主，锁好车子防止失窃，并指挥车主停放到规定区域，要求该岗位保安把车辆摆放整齐。</w:t>
      </w:r>
    </w:p>
    <w:p w14:paraId="29074D0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3</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对门前的小摊小贩进行劝说驱离，保证医院门前的秩序井然、整洁。</w:t>
      </w:r>
    </w:p>
    <w:p w14:paraId="290707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上班时着装整洁。姿势端正，文明用语，不迟到，不早退，不看报纸，不玩手机，不打瞌睡，对咨询要认真答复，引导。</w:t>
      </w:r>
    </w:p>
    <w:p w14:paraId="5D6F5A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5</w:t>
      </w:r>
      <w:r>
        <w:rPr>
          <w:rFonts w:hint="eastAsia" w:ascii="微软雅黑" w:hAnsi="微软雅黑" w:eastAsia="微软雅黑" w:cs="微软雅黑"/>
          <w:lang w:eastAsia="zh-CN"/>
        </w:rPr>
        <w:t>）负责</w:t>
      </w:r>
      <w:r>
        <w:rPr>
          <w:rFonts w:hint="eastAsia" w:ascii="微软雅黑" w:hAnsi="微软雅黑" w:eastAsia="微软雅黑" w:cs="微软雅黑"/>
          <w:lang w:val="en-US" w:eastAsia="zh-CN"/>
        </w:rPr>
        <w:t>门前三保</w:t>
      </w:r>
      <w:r>
        <w:rPr>
          <w:rFonts w:hint="eastAsia" w:ascii="微软雅黑" w:hAnsi="微软雅黑" w:eastAsia="微软雅黑" w:cs="微软雅黑"/>
          <w:lang w:eastAsia="zh-CN"/>
        </w:rPr>
        <w:t>的秩序管理，加强</w:t>
      </w:r>
      <w:r>
        <w:rPr>
          <w:rFonts w:hint="eastAsia" w:ascii="微软雅黑" w:hAnsi="微软雅黑" w:eastAsia="微软雅黑" w:cs="微软雅黑"/>
          <w:lang w:val="en-US" w:eastAsia="zh-CN"/>
        </w:rPr>
        <w:t>环境</w:t>
      </w:r>
      <w:r>
        <w:rPr>
          <w:rFonts w:hint="eastAsia" w:ascii="微软雅黑" w:hAnsi="微软雅黑" w:eastAsia="微软雅黑" w:cs="微软雅黑"/>
          <w:lang w:eastAsia="zh-CN"/>
        </w:rPr>
        <w:t>巡逻，</w:t>
      </w:r>
      <w:r>
        <w:rPr>
          <w:rFonts w:hint="eastAsia" w:ascii="微软雅黑" w:hAnsi="微软雅黑" w:eastAsia="微软雅黑" w:cs="微软雅黑"/>
          <w:lang w:val="en-US" w:eastAsia="zh-CN"/>
        </w:rPr>
        <w:t>落实创文工作要求，</w:t>
      </w:r>
      <w:r>
        <w:rPr>
          <w:rFonts w:hint="eastAsia" w:ascii="微软雅黑" w:hAnsi="微软雅黑" w:eastAsia="微软雅黑" w:cs="微软雅黑"/>
          <w:lang w:eastAsia="zh-CN"/>
        </w:rPr>
        <w:t>提醒</w:t>
      </w:r>
      <w:r>
        <w:rPr>
          <w:rFonts w:hint="eastAsia" w:ascii="微软雅黑" w:hAnsi="微软雅黑" w:eastAsia="微软雅黑" w:cs="微软雅黑"/>
          <w:lang w:val="en-US" w:eastAsia="zh-CN"/>
        </w:rPr>
        <w:t>三车停放的</w:t>
      </w:r>
      <w:r>
        <w:rPr>
          <w:rFonts w:hint="eastAsia" w:ascii="微软雅黑" w:hAnsi="微软雅黑" w:eastAsia="微软雅黑" w:cs="微软雅黑"/>
          <w:lang w:eastAsia="zh-CN"/>
        </w:rPr>
        <w:t>病人和家属保管好自己的财物，防止盗窃案件的发生。</w:t>
      </w:r>
    </w:p>
    <w:p w14:paraId="1D54D6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6</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处置突发事件，完成上级交办的其他任务。</w:t>
      </w:r>
    </w:p>
    <w:p w14:paraId="3001A2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6</w:t>
      </w:r>
      <w:r>
        <w:rPr>
          <w:rFonts w:hint="eastAsia" w:ascii="微软雅黑" w:hAnsi="微软雅黑" w:eastAsia="微软雅黑" w:cs="微软雅黑"/>
          <w:b/>
          <w:bCs/>
          <w:lang w:eastAsia="zh-CN"/>
        </w:rPr>
        <w:t>.</w:t>
      </w:r>
      <w:r>
        <w:rPr>
          <w:rFonts w:hint="eastAsia" w:ascii="微软雅黑" w:hAnsi="微软雅黑" w:eastAsia="微软雅黑" w:cs="微软雅黑"/>
          <w:b/>
          <w:bCs/>
          <w:lang w:val="en-US" w:eastAsia="zh-CN"/>
        </w:rPr>
        <w:t>应急、消防队员</w:t>
      </w:r>
    </w:p>
    <w:p w14:paraId="299EF8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（1）具有较好的身体素质，能充分参与平时的体能训练和体能考核，有较强的服从性和纪律性。发生</w:t>
      </w:r>
      <w:r>
        <w:rPr>
          <w:rFonts w:hint="eastAsia" w:ascii="微软雅黑" w:hAnsi="微软雅黑" w:eastAsia="微软雅黑" w:cs="微软雅黑"/>
          <w:lang w:val="en-US" w:eastAsia="zh-CN"/>
        </w:rPr>
        <w:t>突发</w:t>
      </w:r>
      <w:r>
        <w:rPr>
          <w:rFonts w:hint="eastAsia" w:ascii="微软雅黑" w:hAnsi="微软雅黑" w:eastAsia="微软雅黑" w:cs="微软雅黑"/>
          <w:lang w:eastAsia="zh-CN"/>
        </w:rPr>
        <w:t>事件时能积极发挥自身技能优势，完成医院安排的工作。</w:t>
      </w:r>
    </w:p>
    <w:p w14:paraId="6B2E57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（2）平时主要参与在医院</w:t>
      </w:r>
      <w:r>
        <w:rPr>
          <w:rFonts w:hint="eastAsia" w:ascii="微软雅黑" w:hAnsi="微软雅黑" w:eastAsia="微软雅黑" w:cs="微软雅黑"/>
          <w:lang w:val="en-US" w:eastAsia="zh-CN"/>
        </w:rPr>
        <w:t>各</w:t>
      </w:r>
      <w:r>
        <w:rPr>
          <w:rFonts w:hint="eastAsia" w:ascii="微软雅黑" w:hAnsi="微软雅黑" w:eastAsia="微软雅黑" w:cs="微软雅黑"/>
          <w:lang w:eastAsia="zh-CN"/>
        </w:rPr>
        <w:t>岗位为主，当发生</w:t>
      </w:r>
      <w:r>
        <w:rPr>
          <w:rFonts w:hint="eastAsia" w:ascii="微软雅黑" w:hAnsi="微软雅黑" w:eastAsia="微软雅黑" w:cs="微软雅黑"/>
          <w:lang w:val="en-US" w:eastAsia="zh-CN"/>
        </w:rPr>
        <w:t>消防安全、</w:t>
      </w:r>
      <w:r>
        <w:rPr>
          <w:rFonts w:hint="eastAsia" w:ascii="微软雅黑" w:hAnsi="微软雅黑" w:eastAsia="微软雅黑" w:cs="微软雅黑"/>
          <w:lang w:eastAsia="zh-CN"/>
        </w:rPr>
        <w:t>治安事件和医患纠纷时，能积极主动前往参与。服从医院保卫</w:t>
      </w:r>
      <w:r>
        <w:rPr>
          <w:rFonts w:hint="eastAsia" w:ascii="微软雅黑" w:hAnsi="微软雅黑" w:eastAsia="微软雅黑" w:cs="微软雅黑"/>
          <w:lang w:val="en-US" w:eastAsia="zh-CN"/>
        </w:rPr>
        <w:t>处</w:t>
      </w:r>
      <w:r>
        <w:rPr>
          <w:rFonts w:hint="eastAsia" w:ascii="微软雅黑" w:hAnsi="微软雅黑" w:eastAsia="微软雅黑" w:cs="微软雅黑"/>
          <w:lang w:eastAsia="zh-CN"/>
        </w:rPr>
        <w:t>的一切安排。</w:t>
      </w:r>
    </w:p>
    <w:p w14:paraId="4C37C3D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（3）</w:t>
      </w:r>
      <w:r>
        <w:rPr>
          <w:rFonts w:hint="eastAsia" w:ascii="微软雅黑" w:hAnsi="微软雅黑" w:eastAsia="微软雅黑" w:cs="微软雅黑"/>
          <w:lang w:val="en-US" w:eastAsia="zh-CN"/>
        </w:rPr>
        <w:t>应急、消防队员必须保证30</w:t>
      </w:r>
      <w:r>
        <w:rPr>
          <w:rFonts w:hint="eastAsia" w:ascii="微软雅黑" w:hAnsi="微软雅黑" w:eastAsia="微软雅黑" w:cs="微软雅黑"/>
          <w:lang w:eastAsia="zh-CN"/>
        </w:rPr>
        <w:t>分钟内能赶往医院，供应商需要做出明确承诺。</w:t>
      </w:r>
    </w:p>
    <w:p w14:paraId="37D7DF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（4）每月进行消防、反恐培训及演练，并拍照记录入档。</w:t>
      </w:r>
    </w:p>
    <w:p w14:paraId="50F3F6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eastAsia="zh-CN"/>
        </w:rPr>
        <w:t>（七）其他要求</w:t>
      </w:r>
    </w:p>
    <w:p w14:paraId="012BD8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1.全体队员应规范使用文明用语，态度亲和； </w:t>
      </w:r>
    </w:p>
    <w:p w14:paraId="73B1F5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2.全体队员对院区内吸烟者进行劝阻；</w:t>
      </w:r>
    </w:p>
    <w:p w14:paraId="746F44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3.全体队员对区域内需要帮扶的患者应积极主动提供服务；</w:t>
      </w:r>
    </w:p>
    <w:p w14:paraId="4BB44EB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4.如有异常情况发生时随时汇报上级；</w:t>
      </w:r>
    </w:p>
    <w:p w14:paraId="38879A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5.完成上级安排的其他任务。</w:t>
      </w:r>
    </w:p>
    <w:p w14:paraId="2E739F9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备注：</w:t>
      </w:r>
    </w:p>
    <w:p w14:paraId="10B446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lang w:eastAsia="zh-CN"/>
        </w:rPr>
        <w:t>中标人的各岗位人员要统一服装，服装费由供应商自行承担，并将所需的费用包含在投标总报价中。</w:t>
      </w:r>
    </w:p>
    <w:p w14:paraId="2BA4D7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2</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lang w:eastAsia="zh-CN"/>
        </w:rPr>
        <w:t>中标人有岗前培训机构，安保队员100%经过岗前培训合格并取得国家或政府相关部门颁发的保安员资格证后才可上岗。</w:t>
      </w:r>
    </w:p>
    <w:p w14:paraId="076273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3</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lang w:eastAsia="zh-CN"/>
        </w:rPr>
        <w:t>中标人须严格按照规定开展工作、完善的培训体系，以保证整个服务系统安全、高效、有序和有计划的进行。</w:t>
      </w:r>
    </w:p>
    <w:p w14:paraId="49FAF4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4</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lang w:eastAsia="zh-CN"/>
        </w:rPr>
        <w:t>中标人有责任配合医院接受上级领导部门的监督、检查，提供必须的资料；</w:t>
      </w:r>
    </w:p>
    <w:p w14:paraId="01890A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5</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lang w:eastAsia="zh-CN"/>
        </w:rPr>
        <w:t>所有入院员工都必须体检合格可上岗（费用由中标人承担）。</w:t>
      </w:r>
    </w:p>
    <w:p w14:paraId="5ACDFC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6</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lang w:eastAsia="zh-CN"/>
        </w:rPr>
        <w:t>医院不接受供应商任何因遗漏报价而发生的费用追加，因中标人违反《中华人民共和国劳动法》等法律法规而造成医院的连带责任和损失全部由中标人承担。</w:t>
      </w:r>
    </w:p>
    <w:p w14:paraId="5698B2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7</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lang w:eastAsia="zh-CN"/>
        </w:rPr>
        <w:t>中标人须认真履行职责，员工按照服务协议中的质量保证体系做好院内的承包服务工作。确保在岗在位，各尽其职，保证符合医院各项服务要求和服务质量标准。</w:t>
      </w:r>
    </w:p>
    <w:p w14:paraId="0BE2FB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8</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lang w:eastAsia="zh-CN"/>
        </w:rPr>
        <w:t>中标人应保证在承包期内拟派本项目的任一员工最低月工资标准不低于</w:t>
      </w:r>
      <w:r>
        <w:rPr>
          <w:rFonts w:hint="eastAsia" w:ascii="微软雅黑" w:hAnsi="微软雅黑" w:eastAsia="微软雅黑" w:cs="微软雅黑"/>
          <w:color w:val="auto"/>
          <w:sz w:val="21"/>
          <w:szCs w:val="21"/>
          <w:lang w:val="en-US" w:eastAsia="zh-CN"/>
        </w:rPr>
        <w:t>襄阳</w:t>
      </w:r>
      <w:r>
        <w:rPr>
          <w:rFonts w:hint="eastAsia" w:ascii="微软雅黑" w:hAnsi="微软雅黑" w:eastAsia="微软雅黑" w:cs="微软雅黑"/>
          <w:color w:val="auto"/>
          <w:sz w:val="21"/>
          <w:szCs w:val="21"/>
          <w:lang w:eastAsia="zh-CN"/>
        </w:rPr>
        <w:t>市最低标准。也不得以报价优惠为理由而降低人员的工资待遇。</w:t>
      </w:r>
    </w:p>
    <w:p w14:paraId="553A35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9.服务合同不得转包，发现合同转包立即中止合同并承担经济损失。</w:t>
      </w:r>
      <w:r>
        <w:rPr>
          <w:rFonts w:hint="eastAsia" w:ascii="微软雅黑" w:hAnsi="微软雅黑" w:eastAsia="微软雅黑" w:cs="微软雅黑"/>
          <w:color w:val="auto"/>
          <w:sz w:val="21"/>
          <w:szCs w:val="21"/>
          <w:lang w:val="en-US" w:eastAsia="zh-CN"/>
        </w:rPr>
        <w:t>保安队全</w:t>
      </w:r>
      <w:r>
        <w:rPr>
          <w:rFonts w:hint="eastAsia" w:ascii="微软雅黑" w:hAnsi="微软雅黑" w:eastAsia="微软雅黑" w:cs="微软雅黑"/>
          <w:color w:val="auto"/>
          <w:sz w:val="21"/>
          <w:szCs w:val="21"/>
          <w:lang w:eastAsia="zh-CN"/>
        </w:rPr>
        <w:t>体信息每月报保卫</w:t>
      </w:r>
      <w:r>
        <w:rPr>
          <w:rFonts w:hint="eastAsia" w:ascii="微软雅黑" w:hAnsi="微软雅黑" w:eastAsia="微软雅黑" w:cs="微软雅黑"/>
          <w:color w:val="auto"/>
          <w:sz w:val="21"/>
          <w:szCs w:val="21"/>
          <w:lang w:val="en-US" w:eastAsia="zh-CN"/>
        </w:rPr>
        <w:t>处</w:t>
      </w:r>
      <w:r>
        <w:rPr>
          <w:rFonts w:hint="eastAsia" w:ascii="微软雅黑" w:hAnsi="微软雅黑" w:eastAsia="微软雅黑" w:cs="微软雅黑"/>
          <w:color w:val="auto"/>
          <w:sz w:val="21"/>
          <w:szCs w:val="21"/>
          <w:lang w:eastAsia="zh-CN"/>
        </w:rPr>
        <w:t>备案。</w:t>
      </w:r>
    </w:p>
    <w:p w14:paraId="1027E0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val="0"/>
          <w:bCs w:val="0"/>
          <w:color w:val="auto"/>
          <w:sz w:val="21"/>
          <w:szCs w:val="21"/>
          <w:lang w:val="en-US" w:eastAsia="zh-CN"/>
        </w:rPr>
        <w:t>10.</w:t>
      </w:r>
      <w:r>
        <w:rPr>
          <w:rFonts w:hint="eastAsia" w:ascii="微软雅黑" w:hAnsi="微软雅黑" w:eastAsia="微软雅黑" w:cs="微软雅黑"/>
          <w:b w:val="0"/>
          <w:bCs w:val="0"/>
          <w:color w:val="auto"/>
          <w:sz w:val="21"/>
          <w:szCs w:val="21"/>
          <w:lang w:eastAsia="zh-CN"/>
        </w:rPr>
        <w:t>医院对保安公司服务的监管</w:t>
      </w:r>
    </w:p>
    <w:p w14:paraId="33DC17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lang w:eastAsia="zh-CN"/>
        </w:rPr>
        <w:t>）安保人员应该服从医院和保安公司的双重管理。安保人员应认真履行岗位职责，遵守医院的规章制度，服从医院保卫</w:t>
      </w:r>
      <w:r>
        <w:rPr>
          <w:rFonts w:hint="eastAsia" w:ascii="微软雅黑" w:hAnsi="微软雅黑" w:eastAsia="微软雅黑" w:cs="微软雅黑"/>
          <w:color w:val="auto"/>
          <w:sz w:val="21"/>
          <w:szCs w:val="21"/>
          <w:lang w:val="en-US" w:eastAsia="zh-CN"/>
        </w:rPr>
        <w:t>处</w:t>
      </w:r>
      <w:r>
        <w:rPr>
          <w:rFonts w:hint="eastAsia" w:ascii="微软雅黑" w:hAnsi="微软雅黑" w:eastAsia="微软雅黑" w:cs="微软雅黑"/>
          <w:color w:val="auto"/>
          <w:sz w:val="21"/>
          <w:szCs w:val="21"/>
          <w:lang w:eastAsia="zh-CN"/>
        </w:rPr>
        <w:t>的督查。医院保卫</w:t>
      </w:r>
      <w:r>
        <w:rPr>
          <w:rFonts w:hint="eastAsia" w:ascii="微软雅黑" w:hAnsi="微软雅黑" w:eastAsia="微软雅黑" w:cs="微软雅黑"/>
          <w:color w:val="auto"/>
          <w:sz w:val="21"/>
          <w:szCs w:val="21"/>
          <w:lang w:val="en-US" w:eastAsia="zh-CN"/>
        </w:rPr>
        <w:t>处</w:t>
      </w:r>
      <w:r>
        <w:rPr>
          <w:rFonts w:hint="eastAsia" w:ascii="微软雅黑" w:hAnsi="微软雅黑" w:eastAsia="微软雅黑" w:cs="微软雅黑"/>
          <w:color w:val="auto"/>
          <w:sz w:val="21"/>
          <w:szCs w:val="21"/>
          <w:lang w:eastAsia="zh-CN"/>
        </w:rPr>
        <w:t>是安保服务工作监管部门。</w:t>
      </w:r>
    </w:p>
    <w:p w14:paraId="0B87E9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lang w:eastAsia="zh-CN"/>
        </w:rPr>
        <w:t>）保安公司制订的管理方案及人员情况报医院</w:t>
      </w:r>
      <w:r>
        <w:rPr>
          <w:rFonts w:hint="eastAsia" w:ascii="微软雅黑" w:hAnsi="微软雅黑" w:eastAsia="微软雅黑" w:cs="微软雅黑"/>
          <w:color w:val="auto"/>
          <w:sz w:val="21"/>
          <w:szCs w:val="21"/>
          <w:lang w:val="en-US" w:eastAsia="zh-CN"/>
        </w:rPr>
        <w:t>保卫处</w:t>
      </w:r>
      <w:r>
        <w:rPr>
          <w:rFonts w:hint="eastAsia" w:ascii="微软雅黑" w:hAnsi="微软雅黑" w:eastAsia="微软雅黑" w:cs="微软雅黑"/>
          <w:color w:val="auto"/>
          <w:sz w:val="21"/>
          <w:szCs w:val="21"/>
          <w:lang w:eastAsia="zh-CN"/>
        </w:rPr>
        <w:t>备案。</w:t>
      </w:r>
    </w:p>
    <w:p w14:paraId="66C442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lang w:eastAsia="zh-CN"/>
        </w:rPr>
        <w:t>）医院有权对保安公司从业人员的工作进行检查、督促、考核，并按合同管理规定对人员进行监管，对不称职的保安公司员工提出批评、教育及对保安公司经济处罚，屡教不改者，医院有权提出要求更换、辞退保安从业人员。</w:t>
      </w:r>
    </w:p>
    <w:p w14:paraId="31A5E2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lang w:eastAsia="zh-CN"/>
        </w:rPr>
        <w:t>）医院有权对保安公司的工作进行考核，发现公司不按照合同约定开展工作，如不能达到医院要求，第一次予以警告，第二次予以适当处罚，对一年内三次月度考核不达标者，医院有权单方解除合同。</w:t>
      </w:r>
    </w:p>
    <w:p w14:paraId="26C5A0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val="en-US" w:eastAsia="zh-CN"/>
        </w:rPr>
        <w:t>11</w:t>
      </w:r>
      <w:r>
        <w:rPr>
          <w:rFonts w:hint="eastAsia" w:ascii="微软雅黑" w:hAnsi="微软雅黑" w:eastAsia="微软雅黑" w:cs="微软雅黑"/>
          <w:b w:val="0"/>
          <w:bCs w:val="0"/>
          <w:color w:val="auto"/>
          <w:sz w:val="21"/>
          <w:szCs w:val="21"/>
          <w:lang w:eastAsia="zh-CN"/>
        </w:rPr>
        <w:t>、安全责任赔偿</w:t>
      </w:r>
    </w:p>
    <w:p w14:paraId="3F157B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lang w:eastAsia="zh-CN"/>
        </w:rPr>
        <w:t>） 在甲方服务区内发生物品被盗，应及时报告当地公安机关调查处理，经公安机关勘察现场，甲方提供有效证明材料，认定由于保安人员失职造成物品被盗，根据设备新旧、使用年限乙方按扣除折旧后净额予以赔偿。</w:t>
      </w:r>
    </w:p>
    <w:p w14:paraId="5F74B7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lang w:eastAsia="zh-CN"/>
        </w:rPr>
        <w:t>）各楼层科室及病区和公共场所的固定设备、电器、材料被盗的（如消防设备、器材、音响、电脑、电动自行车等），经勘察调查核实，确定物品被盗，并有有效证明材料认定由保安员失职或责任心不强、检查防范不到位等造成物品被盗，由案发科室提供损失依据证明材料，交保卫</w:t>
      </w:r>
      <w:r>
        <w:rPr>
          <w:rFonts w:hint="eastAsia" w:ascii="微软雅黑" w:hAnsi="微软雅黑" w:eastAsia="微软雅黑" w:cs="微软雅黑"/>
          <w:color w:val="auto"/>
          <w:sz w:val="21"/>
          <w:szCs w:val="21"/>
          <w:lang w:val="en-US" w:eastAsia="zh-CN"/>
        </w:rPr>
        <w:t>处</w:t>
      </w:r>
      <w:r>
        <w:rPr>
          <w:rFonts w:hint="eastAsia" w:ascii="微软雅黑" w:hAnsi="微软雅黑" w:eastAsia="微软雅黑" w:cs="微软雅黑"/>
          <w:color w:val="auto"/>
          <w:sz w:val="21"/>
          <w:szCs w:val="21"/>
          <w:lang w:eastAsia="zh-CN"/>
        </w:rPr>
        <w:t>并由甲方保卫</w:t>
      </w:r>
      <w:r>
        <w:rPr>
          <w:rFonts w:hint="eastAsia" w:ascii="微软雅黑" w:hAnsi="微软雅黑" w:eastAsia="微软雅黑" w:cs="微软雅黑"/>
          <w:color w:val="auto"/>
          <w:sz w:val="21"/>
          <w:szCs w:val="21"/>
          <w:lang w:val="en-US" w:eastAsia="zh-CN"/>
        </w:rPr>
        <w:t>处</w:t>
      </w:r>
      <w:r>
        <w:rPr>
          <w:rFonts w:hint="eastAsia" w:ascii="微软雅黑" w:hAnsi="微软雅黑" w:eastAsia="微软雅黑" w:cs="微软雅黑"/>
          <w:color w:val="auto"/>
          <w:sz w:val="21"/>
          <w:szCs w:val="21"/>
          <w:lang w:eastAsia="zh-CN"/>
        </w:rPr>
        <w:t>拟出赔偿意见，按折价后的实价赔偿。</w:t>
      </w:r>
    </w:p>
    <w:p w14:paraId="61D93D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lang w:eastAsia="zh-CN"/>
        </w:rPr>
        <w:t>）加强对门诊及各病区的巡逻、值守防范力度，杜绝各类案件、事件的发生、凡在服务区内发生盗窃、抢劫、打架斗殴、医闹等案件，应根据责任划分赔偿责任；凡因乙方未尽到安保管理义务，导致医患人员受到人身伤害的，乙方负责处理和赔偿。</w:t>
      </w:r>
    </w:p>
    <w:p w14:paraId="56C4937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lef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lang w:eastAsia="zh-CN"/>
        </w:rPr>
        <w:t>）其他案件的发生，视案件性质，另作协商处理。</w:t>
      </w:r>
    </w:p>
    <w:p w14:paraId="0E80EFC1">
      <w:pPr>
        <w:keepNext w:val="0"/>
        <w:keepLines w:val="0"/>
        <w:pageBreakBefore w:val="0"/>
        <w:widowControl w:val="0"/>
        <w:numPr>
          <w:ilvl w:val="1"/>
          <w:numId w:val="0"/>
        </w:numPr>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2E75B6" w:themeColor="accent1" w:themeShade="BF"/>
          <w:sz w:val="21"/>
          <w:szCs w:val="21"/>
          <w:lang w:val="en-US" w:eastAsia="zh-CN"/>
        </w:rPr>
      </w:pPr>
      <w:r>
        <w:rPr>
          <w:rFonts w:hint="eastAsia" w:ascii="微软雅黑" w:hAnsi="微软雅黑" w:eastAsia="微软雅黑" w:cs="微软雅黑"/>
          <w:b/>
          <w:bCs/>
          <w:color w:val="2E75B6" w:themeColor="accent1" w:themeShade="BF"/>
          <w:kern w:val="2"/>
          <w:sz w:val="21"/>
          <w:szCs w:val="21"/>
          <w:lang w:val="en-US" w:eastAsia="zh-CN" w:bidi="ar-SA"/>
        </w:rPr>
        <w:t>五、</w:t>
      </w:r>
      <w:r>
        <w:rPr>
          <w:rFonts w:hint="eastAsia" w:ascii="微软雅黑" w:hAnsi="微软雅黑" w:eastAsia="微软雅黑" w:cs="微软雅黑"/>
          <w:b/>
          <w:bCs/>
          <w:color w:val="2E75B6" w:themeColor="accent1" w:themeShade="BF"/>
          <w:sz w:val="21"/>
          <w:szCs w:val="21"/>
          <w:lang w:val="en-US" w:eastAsia="zh-CN"/>
        </w:rPr>
        <w:t>商务要求</w:t>
      </w:r>
    </w:p>
    <w:p w14:paraId="7498862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default" w:ascii="微软雅黑" w:hAnsi="微软雅黑" w:eastAsia="微软雅黑" w:cs="微软雅黑"/>
          <w:b w:val="0"/>
          <w:bCs w:val="0"/>
          <w:color w:val="auto"/>
          <w:kern w:val="2"/>
          <w:sz w:val="21"/>
          <w:szCs w:val="21"/>
          <w:vertAlign w:val="baseline"/>
          <w:lang w:val="en-US" w:eastAsia="zh-CN" w:bidi="ar-SA"/>
        </w:rPr>
        <w:t>1．</w:t>
      </w:r>
      <w:r>
        <w:rPr>
          <w:rFonts w:hint="eastAsia" w:ascii="微软雅黑" w:hAnsi="微软雅黑" w:eastAsia="微软雅黑" w:cs="微软雅黑"/>
          <w:b w:val="0"/>
          <w:bCs w:val="0"/>
          <w:color w:val="auto"/>
          <w:sz w:val="21"/>
          <w:szCs w:val="21"/>
          <w:vertAlign w:val="baseline"/>
          <w:lang w:val="en-US" w:eastAsia="zh-CN"/>
        </w:rPr>
        <w:t>合同履约期限：1年，</w:t>
      </w:r>
      <w:r>
        <w:rPr>
          <w:rFonts w:hint="eastAsia" w:ascii="微软雅黑" w:hAnsi="微软雅黑" w:eastAsia="微软雅黑" w:cs="微软雅黑"/>
          <w:b w:val="0"/>
          <w:bCs w:val="0"/>
          <w:color w:val="auto"/>
          <w:lang w:val="en-US" w:eastAsia="zh-CN"/>
        </w:rPr>
        <w:t>合同期满后</w:t>
      </w:r>
      <w:r>
        <w:rPr>
          <w:rFonts w:hint="eastAsia" w:ascii="微软雅黑" w:hAnsi="微软雅黑" w:eastAsia="微软雅黑" w:cs="微软雅黑"/>
          <w:color w:val="auto"/>
        </w:rPr>
        <w:t>根据考核</w:t>
      </w:r>
      <w:r>
        <w:rPr>
          <w:rFonts w:hint="eastAsia" w:ascii="微软雅黑" w:hAnsi="微软雅黑" w:eastAsia="微软雅黑" w:cs="微软雅黑"/>
          <w:color w:val="auto"/>
          <w:lang w:eastAsia="zh-CN"/>
        </w:rPr>
        <w:t>合格</w:t>
      </w:r>
      <w:r>
        <w:rPr>
          <w:rFonts w:hint="eastAsia" w:ascii="微软雅黑" w:hAnsi="微软雅黑" w:eastAsia="微软雅黑" w:cs="微软雅黑"/>
          <w:color w:val="auto"/>
        </w:rPr>
        <w:t>可续签合同，续签不超过两次。以签订正式合同为准，</w:t>
      </w:r>
      <w:r>
        <w:rPr>
          <w:rFonts w:hint="eastAsia" w:ascii="微软雅黑" w:hAnsi="微软雅黑" w:eastAsia="微软雅黑" w:cs="微软雅黑"/>
          <w:b w:val="0"/>
          <w:bCs w:val="0"/>
          <w:color w:val="auto"/>
          <w:highlight w:val="none"/>
          <w:lang w:val="en-US" w:eastAsia="zh-CN"/>
        </w:rPr>
        <w:t>采购人</w:t>
      </w:r>
      <w:r>
        <w:rPr>
          <w:rFonts w:hint="eastAsia" w:ascii="微软雅黑" w:hAnsi="微软雅黑" w:eastAsia="微软雅黑" w:cs="微软雅黑"/>
          <w:color w:val="auto"/>
        </w:rPr>
        <w:t>将实行考核制，服务期内考核不达标的中标人</w:t>
      </w:r>
      <w:r>
        <w:rPr>
          <w:rFonts w:hint="eastAsia" w:ascii="微软雅黑" w:hAnsi="微软雅黑" w:eastAsia="微软雅黑" w:cs="微软雅黑"/>
          <w:b w:val="0"/>
          <w:bCs w:val="0"/>
          <w:color w:val="auto"/>
          <w:highlight w:val="none"/>
          <w:lang w:val="en-US" w:eastAsia="zh-CN"/>
        </w:rPr>
        <w:t>采购人</w:t>
      </w:r>
      <w:r>
        <w:rPr>
          <w:rFonts w:hint="eastAsia" w:ascii="微软雅黑" w:hAnsi="微软雅黑" w:eastAsia="微软雅黑" w:cs="微软雅黑"/>
          <w:color w:val="auto"/>
        </w:rPr>
        <w:t>有权终止合同，考核合格可以续签合同。考核制度在签定正式合同中约定。</w:t>
      </w:r>
      <w:r>
        <w:rPr>
          <w:rFonts w:hint="eastAsia" w:ascii="微软雅黑" w:hAnsi="微软雅黑" w:eastAsia="微软雅黑" w:cs="微软雅黑"/>
          <w:b w:val="0"/>
          <w:bCs w:val="0"/>
          <w:color w:val="auto"/>
          <w:lang w:val="en-US" w:eastAsia="zh-CN"/>
        </w:rPr>
        <w:t xml:space="preserve"> 服务考核达到采购人使用需求标准，经过考核合格后可续签。</w:t>
      </w:r>
    </w:p>
    <w:p w14:paraId="0421FB8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lang w:val="en-US" w:eastAsia="zh-CN"/>
        </w:rPr>
        <w:t>2．合同价款的结算：</w:t>
      </w:r>
      <w:r>
        <w:rPr>
          <w:rFonts w:hint="eastAsia" w:ascii="微软雅黑" w:hAnsi="微软雅黑" w:eastAsia="微软雅黑" w:cs="微软雅黑"/>
          <w:color w:val="auto"/>
        </w:rPr>
        <w:t>按月支付，每月经甲</w:t>
      </w:r>
      <w:r>
        <w:rPr>
          <w:rFonts w:hint="eastAsia" w:ascii="微软雅黑" w:hAnsi="微软雅黑" w:eastAsia="微软雅黑" w:cs="微软雅黑"/>
          <w:color w:val="auto"/>
          <w:lang w:eastAsia="zh-CN"/>
        </w:rPr>
        <w:t>方</w:t>
      </w:r>
      <w:r>
        <w:rPr>
          <w:rFonts w:hint="eastAsia" w:ascii="微软雅黑" w:hAnsi="微软雅黑" w:eastAsia="微软雅黑" w:cs="微软雅黑"/>
          <w:color w:val="auto"/>
        </w:rPr>
        <w:t>考核后，</w:t>
      </w:r>
      <w:r>
        <w:rPr>
          <w:rFonts w:hint="eastAsia" w:ascii="微软雅黑" w:hAnsi="微软雅黑" w:eastAsia="微软雅黑" w:cs="微软雅黑"/>
          <w:color w:val="auto"/>
          <w:sz w:val="21"/>
          <w:szCs w:val="21"/>
        </w:rPr>
        <w:t>按考核结果支付实际费用。</w:t>
      </w:r>
      <w:r>
        <w:rPr>
          <w:rFonts w:hint="eastAsia" w:ascii="微软雅黑" w:hAnsi="微软雅黑" w:eastAsia="微软雅黑" w:cs="微软雅黑"/>
          <w:color w:val="auto"/>
        </w:rPr>
        <w:t>甲方应在每月1</w:t>
      </w:r>
      <w:r>
        <w:rPr>
          <w:rFonts w:hint="eastAsia" w:ascii="微软雅黑" w:hAnsi="微软雅黑" w:eastAsia="微软雅黑" w:cs="微软雅黑"/>
          <w:color w:val="auto"/>
          <w:lang w:val="en-US" w:eastAsia="zh-CN"/>
        </w:rPr>
        <w:t>5</w:t>
      </w:r>
      <w:r>
        <w:rPr>
          <w:rFonts w:hint="eastAsia" w:ascii="微软雅黑" w:hAnsi="微软雅黑" w:eastAsia="微软雅黑" w:cs="微软雅黑"/>
          <w:color w:val="auto"/>
        </w:rPr>
        <w:t>日前据实支付上月费用。</w:t>
      </w:r>
    </w:p>
    <w:p w14:paraId="466B6E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2E75B6" w:themeColor="accent1" w:themeShade="BF"/>
          <w:lang w:val="en-US" w:eastAsia="zh-CN"/>
        </w:rPr>
      </w:pPr>
      <w:r>
        <w:rPr>
          <w:rFonts w:hint="eastAsia" w:ascii="微软雅黑" w:hAnsi="微软雅黑" w:eastAsia="微软雅黑" w:cs="微软雅黑"/>
          <w:b/>
          <w:bCs/>
          <w:color w:val="2E75B6" w:themeColor="accent1" w:themeShade="BF"/>
          <w:lang w:val="en-US" w:eastAsia="zh-CN"/>
        </w:rPr>
        <w:t>六、服务质量考评</w:t>
      </w:r>
    </w:p>
    <w:p w14:paraId="7D1664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1.采用百分制每月对服务质量实施考评。</w:t>
      </w:r>
    </w:p>
    <w:p w14:paraId="5F159A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2.根据服务保障内容的地位作用，分别赋予不同的分值。</w:t>
      </w:r>
    </w:p>
    <w:p w14:paraId="264985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3.扣分方式</w:t>
      </w:r>
    </w:p>
    <w:p w14:paraId="29627E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（1）当服务质量标准不符合考评细则要求时，即从严扣分；虽有分值，但扣罚不封顶。</w:t>
      </w:r>
    </w:p>
    <w:p w14:paraId="5DE736E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（2）对重点和关键项目内容的服务质量考评，按定性与定量考核标准执行。</w:t>
      </w:r>
    </w:p>
    <w:p w14:paraId="32EB21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 xml:space="preserve"> 4.考评结果的运用</w:t>
      </w:r>
    </w:p>
    <w:p w14:paraId="79FB6D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（1）大于等于95分，不扣罚当月服务费用；</w:t>
      </w:r>
    </w:p>
    <w:p w14:paraId="2E4B583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（2）90分≤94分，每扣1分对应扣罚当月服务费100元；列举：某月得分92分，扣罚100元×（100分－92分）＝800元；</w:t>
      </w:r>
    </w:p>
    <w:p w14:paraId="686AD1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（3）85分≤ 89分，每扣1分对应扣罚当月服务费200元；列举：某月得分86分，扣罚200元×（100分－86分）＝2800元；</w:t>
      </w:r>
    </w:p>
    <w:p w14:paraId="64D84E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（4）70分≤84分，每扣1分对应扣罚当月服务费300元；列举：某月得分72分，扣罚300元×（100分－72分）＝8400元；</w:t>
      </w:r>
    </w:p>
    <w:p w14:paraId="786E74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5</w:t>
      </w:r>
      <w:r>
        <w:rPr>
          <w:rFonts w:hint="eastAsia" w:ascii="微软雅黑" w:hAnsi="微软雅黑" w:eastAsia="微软雅黑" w:cs="微软雅黑"/>
          <w:lang w:eastAsia="zh-CN"/>
        </w:rPr>
        <w:t>）</w:t>
      </w:r>
      <w:r>
        <w:rPr>
          <w:rFonts w:hint="eastAsia" w:ascii="微软雅黑" w:hAnsi="微软雅黑" w:eastAsia="微软雅黑" w:cs="微软雅黑"/>
        </w:rPr>
        <w:t>小于70分，每扣1分对应扣罚当月服务费</w:t>
      </w:r>
      <w:r>
        <w:rPr>
          <w:rFonts w:hint="eastAsia" w:ascii="微软雅黑" w:hAnsi="微软雅黑" w:eastAsia="微软雅黑" w:cs="微软雅黑"/>
          <w:lang w:val="en-US" w:eastAsia="zh-CN"/>
        </w:rPr>
        <w:t>5</w:t>
      </w:r>
      <w:r>
        <w:rPr>
          <w:rFonts w:hint="eastAsia" w:ascii="微软雅黑" w:hAnsi="微软雅黑" w:eastAsia="微软雅黑" w:cs="微软雅黑"/>
        </w:rPr>
        <w:t>00元；列举：某月得分63分，扣罚</w:t>
      </w:r>
      <w:r>
        <w:rPr>
          <w:rFonts w:hint="eastAsia" w:ascii="微软雅黑" w:hAnsi="微软雅黑" w:eastAsia="微软雅黑" w:cs="微软雅黑"/>
          <w:lang w:val="en-US" w:eastAsia="zh-CN"/>
        </w:rPr>
        <w:t>5</w:t>
      </w:r>
      <w:r>
        <w:rPr>
          <w:rFonts w:hint="eastAsia" w:ascii="微软雅黑" w:hAnsi="微软雅黑" w:eastAsia="微软雅黑" w:cs="微软雅黑"/>
        </w:rPr>
        <w:t>00元×（100分－63分）＝1</w:t>
      </w:r>
      <w:r>
        <w:rPr>
          <w:rFonts w:hint="eastAsia" w:ascii="微软雅黑" w:hAnsi="微软雅黑" w:eastAsia="微软雅黑" w:cs="微软雅黑"/>
          <w:lang w:val="en-US" w:eastAsia="zh-CN"/>
        </w:rPr>
        <w:t>8500</w:t>
      </w:r>
      <w:r>
        <w:rPr>
          <w:rFonts w:hint="eastAsia" w:ascii="微软雅黑" w:hAnsi="微软雅黑" w:eastAsia="微软雅黑" w:cs="微软雅黑"/>
        </w:rPr>
        <w:t>元。</w:t>
      </w:r>
    </w:p>
    <w:p w14:paraId="3DFD868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主管部门以书面形式将考评记录内容、整改措施、整改限期通知供应商，并跟踪整改效果，如整改不及时或类似扣分内容反复出现，则加重处罚。</w:t>
      </w:r>
    </w:p>
    <w:p w14:paraId="205E66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备注：保安服务月度考核是保安服务合同执行的重要考核方式，月考核平均分达到80以上为合格，全年月考核分有3次未达到80分即视为考核不合格，考核不合格终止后续的合同履行，产生的相关责任和损失由乙方承担。</w:t>
      </w:r>
    </w:p>
    <w:p w14:paraId="2C7856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FF0000"/>
          <w:sz w:val="21"/>
          <w:szCs w:val="21"/>
        </w:rPr>
      </w:pPr>
      <w:r>
        <w:rPr>
          <w:rFonts w:hint="eastAsia" w:ascii="宋体" w:hAnsi="宋体" w:eastAsia="宋体" w:cs="宋体"/>
          <w:color w:val="FF0000"/>
          <w:sz w:val="24"/>
          <w:szCs w:val="24"/>
        </w:rPr>
        <w:t xml:space="preserve"> </w:t>
      </w:r>
      <w:r>
        <w:rPr>
          <w:rFonts w:hint="eastAsia" w:ascii="微软雅黑" w:hAnsi="微软雅黑" w:eastAsia="微软雅黑" w:cs="微软雅黑"/>
          <w:color w:val="FF0000"/>
          <w:sz w:val="21"/>
          <w:szCs w:val="21"/>
        </w:rPr>
        <w:t xml:space="preserve"> </w:t>
      </w:r>
    </w:p>
    <w:p w14:paraId="0A5C2F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E75B6" w:themeColor="accent1" w:themeShade="BF"/>
          <w:sz w:val="21"/>
          <w:szCs w:val="21"/>
        </w:rPr>
      </w:pP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2E75B6" w:themeColor="accent1" w:themeShade="BF"/>
          <w:sz w:val="21"/>
          <w:szCs w:val="21"/>
        </w:rPr>
        <w:t xml:space="preserve"> </w:t>
      </w:r>
    </w:p>
    <w:p w14:paraId="645449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E75B6" w:themeColor="accent1" w:themeShade="BF"/>
          <w:sz w:val="21"/>
          <w:szCs w:val="21"/>
        </w:rPr>
      </w:pPr>
    </w:p>
    <w:p w14:paraId="40751A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E75B6" w:themeColor="accent1" w:themeShade="BF"/>
          <w:sz w:val="21"/>
          <w:szCs w:val="21"/>
        </w:rPr>
      </w:pPr>
    </w:p>
    <w:p w14:paraId="135B90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E75B6" w:themeColor="accent1" w:themeShade="BF"/>
          <w:sz w:val="21"/>
          <w:szCs w:val="21"/>
        </w:rPr>
      </w:pPr>
    </w:p>
    <w:p w14:paraId="154A72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E75B6" w:themeColor="accent1" w:themeShade="BF"/>
          <w:sz w:val="21"/>
          <w:szCs w:val="21"/>
        </w:rPr>
      </w:pPr>
    </w:p>
    <w:p w14:paraId="4A4869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2E75B6" w:themeColor="accent1" w:themeShade="BF"/>
          <w:sz w:val="21"/>
          <w:szCs w:val="21"/>
        </w:rPr>
        <w:t>保安服务质量标准与考评细则</w:t>
      </w:r>
    </w:p>
    <w:tbl>
      <w:tblPr>
        <w:tblStyle w:val="8"/>
        <w:tblW w:w="5000" w:type="pct"/>
        <w:tblInd w:w="0" w:type="dxa"/>
        <w:tblLayout w:type="autofit"/>
        <w:tblCellMar>
          <w:top w:w="0" w:type="dxa"/>
          <w:left w:w="108" w:type="dxa"/>
          <w:bottom w:w="0" w:type="dxa"/>
          <w:right w:w="108" w:type="dxa"/>
        </w:tblCellMar>
      </w:tblPr>
      <w:tblGrid>
        <w:gridCol w:w="590"/>
        <w:gridCol w:w="696"/>
        <w:gridCol w:w="1183"/>
        <w:gridCol w:w="3720"/>
        <w:gridCol w:w="953"/>
        <w:gridCol w:w="646"/>
        <w:gridCol w:w="734"/>
      </w:tblGrid>
      <w:tr w14:paraId="53CFC07A">
        <w:tblPrEx>
          <w:tblCellMar>
            <w:top w:w="0" w:type="dxa"/>
            <w:left w:w="108" w:type="dxa"/>
            <w:bottom w:w="0" w:type="dxa"/>
            <w:right w:w="108" w:type="dxa"/>
          </w:tblCellMar>
        </w:tblPrEx>
        <w:trPr>
          <w:trHeight w:val="285"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175A89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序号</w:t>
            </w:r>
          </w:p>
        </w:tc>
        <w:tc>
          <w:tcPr>
            <w:tcW w:w="408" w:type="pct"/>
            <w:tcBorders>
              <w:top w:val="single" w:color="auto" w:sz="4" w:space="0"/>
              <w:left w:val="single" w:color="auto" w:sz="4" w:space="0"/>
              <w:bottom w:val="single" w:color="auto" w:sz="4" w:space="0"/>
              <w:right w:val="single" w:color="auto" w:sz="4" w:space="0"/>
            </w:tcBorders>
            <w:noWrap w:val="0"/>
            <w:vAlign w:val="center"/>
          </w:tcPr>
          <w:p w14:paraId="09195B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项目</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26A6DE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分类</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1A24C6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具体内容</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2B8383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扣分</w:t>
            </w:r>
          </w:p>
          <w:p w14:paraId="31E586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标准</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0A4C21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得分</w:t>
            </w:r>
          </w:p>
        </w:tc>
        <w:tc>
          <w:tcPr>
            <w:tcW w:w="430" w:type="pct"/>
            <w:tcBorders>
              <w:top w:val="single" w:color="auto" w:sz="4" w:space="0"/>
              <w:left w:val="single" w:color="auto" w:sz="4" w:space="0"/>
              <w:bottom w:val="single" w:color="auto" w:sz="4" w:space="0"/>
              <w:right w:val="single" w:color="auto" w:sz="4" w:space="0"/>
            </w:tcBorders>
            <w:noWrap w:val="0"/>
            <w:vAlign w:val="center"/>
          </w:tcPr>
          <w:p w14:paraId="4E37E7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扣分说明</w:t>
            </w:r>
          </w:p>
        </w:tc>
      </w:tr>
      <w:tr w14:paraId="03714A0D">
        <w:tblPrEx>
          <w:tblCellMar>
            <w:top w:w="0" w:type="dxa"/>
            <w:left w:w="108" w:type="dxa"/>
            <w:bottom w:w="0" w:type="dxa"/>
            <w:right w:w="108" w:type="dxa"/>
          </w:tblCellMar>
        </w:tblPrEx>
        <w:trPr>
          <w:trHeight w:val="1385"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0376F3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408" w:type="pct"/>
            <w:vMerge w:val="restart"/>
            <w:tcBorders>
              <w:top w:val="single" w:color="auto" w:sz="4" w:space="0"/>
              <w:left w:val="single" w:color="auto" w:sz="4" w:space="0"/>
              <w:right w:val="single" w:color="auto" w:sz="4" w:space="0"/>
            </w:tcBorders>
            <w:noWrap w:val="0"/>
            <w:vAlign w:val="center"/>
          </w:tcPr>
          <w:p w14:paraId="04721F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人员出勤（20分</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151C9A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岗位管理</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5D1CFD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根据工作实际情况，合理安排休班，保证不空岗。缺岗的按每人每次扣分。</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114EA4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2分/次</w:t>
            </w:r>
          </w:p>
        </w:tc>
        <w:tc>
          <w:tcPr>
            <w:tcW w:w="379" w:type="pct"/>
            <w:vMerge w:val="restart"/>
            <w:tcBorders>
              <w:top w:val="single" w:color="auto" w:sz="4" w:space="0"/>
              <w:left w:val="single" w:color="auto" w:sz="4" w:space="0"/>
              <w:right w:val="single" w:color="auto" w:sz="4" w:space="0"/>
            </w:tcBorders>
            <w:noWrap w:val="0"/>
            <w:vAlign w:val="center"/>
          </w:tcPr>
          <w:p w14:paraId="44D086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10698A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45B7F649">
        <w:tblPrEx>
          <w:tblCellMar>
            <w:top w:w="0" w:type="dxa"/>
            <w:left w:w="108" w:type="dxa"/>
            <w:bottom w:w="0" w:type="dxa"/>
            <w:right w:w="108" w:type="dxa"/>
          </w:tblCellMar>
        </w:tblPrEx>
        <w:trPr>
          <w:trHeight w:val="1140"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4B4B57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408" w:type="pct"/>
            <w:vMerge w:val="continue"/>
            <w:tcBorders>
              <w:left w:val="single" w:color="auto" w:sz="4" w:space="0"/>
              <w:bottom w:val="single" w:color="auto" w:sz="4" w:space="0"/>
              <w:right w:val="single" w:color="auto" w:sz="4" w:space="0"/>
            </w:tcBorders>
            <w:noWrap w:val="0"/>
            <w:vAlign w:val="center"/>
          </w:tcPr>
          <w:p w14:paraId="4B1D3C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tcBorders>
              <w:top w:val="single" w:color="auto" w:sz="4" w:space="0"/>
              <w:left w:val="single" w:color="auto" w:sz="4" w:space="0"/>
              <w:bottom w:val="single" w:color="auto" w:sz="4" w:space="0"/>
              <w:right w:val="single" w:color="auto" w:sz="4" w:space="0"/>
            </w:tcBorders>
            <w:noWrap w:val="0"/>
            <w:vAlign w:val="center"/>
          </w:tcPr>
          <w:p w14:paraId="768FE5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人员考勤</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26B4B1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按岗位设置或排班表，人员调配合理，准时到岗，无迟到早退或漏岗。</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4605C4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bottom w:val="single" w:color="auto" w:sz="4" w:space="0"/>
              <w:right w:val="single" w:color="auto" w:sz="4" w:space="0"/>
            </w:tcBorders>
            <w:noWrap w:val="0"/>
            <w:vAlign w:val="center"/>
          </w:tcPr>
          <w:p w14:paraId="2702D5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48808C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5B7C4418">
        <w:tblPrEx>
          <w:tblCellMar>
            <w:top w:w="0" w:type="dxa"/>
            <w:left w:w="108" w:type="dxa"/>
            <w:bottom w:w="0" w:type="dxa"/>
            <w:right w:w="108" w:type="dxa"/>
          </w:tblCellMar>
        </w:tblPrEx>
        <w:trPr>
          <w:trHeight w:val="1415"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5C9577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w:t>
            </w:r>
          </w:p>
        </w:tc>
        <w:tc>
          <w:tcPr>
            <w:tcW w:w="408" w:type="pct"/>
            <w:vMerge w:val="restart"/>
            <w:tcBorders>
              <w:top w:val="single" w:color="auto" w:sz="4" w:space="0"/>
              <w:left w:val="single" w:color="auto" w:sz="4" w:space="0"/>
              <w:right w:val="single" w:color="auto" w:sz="4" w:space="0"/>
            </w:tcBorders>
            <w:noWrap w:val="0"/>
            <w:vAlign w:val="center"/>
          </w:tcPr>
          <w:p w14:paraId="620E63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5CE8D1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6E1133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141B4D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46D430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7F6A15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礼貌</w:t>
            </w:r>
          </w:p>
          <w:p w14:paraId="167380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礼仪</w:t>
            </w:r>
          </w:p>
          <w:p w14:paraId="3E5ECE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规范</w:t>
            </w:r>
          </w:p>
          <w:p w14:paraId="40C33F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1BF971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（10分）</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505B6F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礼仪行为</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497B87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微笑规范询问，合理阻止非文明行为及非规范行为，文明用语，严禁粗话、脏话，无肢体冲突。</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6DD14C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restart"/>
            <w:tcBorders>
              <w:top w:val="single" w:color="auto" w:sz="4" w:space="0"/>
              <w:left w:val="single" w:color="auto" w:sz="4" w:space="0"/>
              <w:right w:val="single" w:color="auto" w:sz="4" w:space="0"/>
            </w:tcBorders>
            <w:noWrap w:val="0"/>
            <w:vAlign w:val="center"/>
          </w:tcPr>
          <w:p w14:paraId="1B5D23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6D1E68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491FE919">
        <w:tblPrEx>
          <w:tblCellMar>
            <w:top w:w="0" w:type="dxa"/>
            <w:left w:w="108" w:type="dxa"/>
            <w:bottom w:w="0" w:type="dxa"/>
            <w:right w:w="108" w:type="dxa"/>
          </w:tblCellMar>
        </w:tblPrEx>
        <w:trPr>
          <w:trHeight w:val="90" w:hRule="atLeast"/>
        </w:trPr>
        <w:tc>
          <w:tcPr>
            <w:tcW w:w="34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59321C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5</w:t>
            </w:r>
          </w:p>
        </w:tc>
        <w:tc>
          <w:tcPr>
            <w:tcW w:w="408" w:type="pct"/>
            <w:vMerge w:val="continue"/>
            <w:tcBorders>
              <w:left w:val="single" w:color="auto" w:sz="4" w:space="0"/>
              <w:right w:val="single" w:color="auto" w:sz="4" w:space="0"/>
            </w:tcBorders>
            <w:shd w:val="clear" w:color="auto" w:fill="auto"/>
            <w:noWrap w:val="0"/>
            <w:vAlign w:val="center"/>
          </w:tcPr>
          <w:p w14:paraId="4561E6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3393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规范着装</w:t>
            </w:r>
          </w:p>
        </w:tc>
        <w:tc>
          <w:tcPr>
            <w:tcW w:w="218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C76E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穿着保安服装上岗，需干净整齐，口袋内不放异物。</w:t>
            </w:r>
          </w:p>
        </w:tc>
        <w:tc>
          <w:tcPr>
            <w:tcW w:w="55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A9A6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right w:val="single" w:color="auto" w:sz="4" w:space="0"/>
            </w:tcBorders>
            <w:shd w:val="solid" w:color="FFFFFF" w:fill="auto"/>
            <w:noWrap w:val="0"/>
            <w:vAlign w:val="center"/>
          </w:tcPr>
          <w:p w14:paraId="3A4AC6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555FB5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7D71E37F">
        <w:tblPrEx>
          <w:tblCellMar>
            <w:top w:w="0" w:type="dxa"/>
            <w:left w:w="108" w:type="dxa"/>
            <w:bottom w:w="0" w:type="dxa"/>
            <w:right w:w="108" w:type="dxa"/>
          </w:tblCellMar>
        </w:tblPrEx>
        <w:trPr>
          <w:trHeight w:val="360"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5426BE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w:t>
            </w:r>
          </w:p>
        </w:tc>
        <w:tc>
          <w:tcPr>
            <w:tcW w:w="408" w:type="pct"/>
            <w:vMerge w:val="continue"/>
            <w:tcBorders>
              <w:left w:val="single" w:color="auto" w:sz="4" w:space="0"/>
              <w:right w:val="single" w:color="auto" w:sz="4" w:space="0"/>
            </w:tcBorders>
            <w:noWrap w:val="0"/>
            <w:vAlign w:val="center"/>
          </w:tcPr>
          <w:p w14:paraId="5E826D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tcBorders>
              <w:top w:val="single" w:color="auto" w:sz="4" w:space="0"/>
              <w:left w:val="single" w:color="auto" w:sz="4" w:space="0"/>
              <w:bottom w:val="single" w:color="auto" w:sz="4" w:space="0"/>
              <w:right w:val="single" w:color="auto" w:sz="4" w:space="0"/>
            </w:tcBorders>
            <w:noWrap w:val="0"/>
            <w:vAlign w:val="center"/>
          </w:tcPr>
          <w:p w14:paraId="08F00D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仪容仪表</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55614A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不得留须、长发、长甲，食用口气较重食物，严禁酒后当值。</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30C7E0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1分/1次</w:t>
            </w:r>
          </w:p>
        </w:tc>
        <w:tc>
          <w:tcPr>
            <w:tcW w:w="379" w:type="pct"/>
            <w:vMerge w:val="continue"/>
            <w:tcBorders>
              <w:left w:val="single" w:color="auto" w:sz="4" w:space="0"/>
              <w:right w:val="single" w:color="auto" w:sz="4" w:space="0"/>
            </w:tcBorders>
            <w:noWrap w:val="0"/>
            <w:vAlign w:val="center"/>
          </w:tcPr>
          <w:p w14:paraId="6CED65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3BF43F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4D4ABB0D">
        <w:tblPrEx>
          <w:tblCellMar>
            <w:top w:w="0" w:type="dxa"/>
            <w:left w:w="108" w:type="dxa"/>
            <w:bottom w:w="0" w:type="dxa"/>
            <w:right w:w="108" w:type="dxa"/>
          </w:tblCellMar>
        </w:tblPrEx>
        <w:trPr>
          <w:trHeight w:val="40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608C5D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408" w:type="pct"/>
            <w:vMerge w:val="continue"/>
            <w:tcBorders>
              <w:left w:val="single" w:color="auto" w:sz="4" w:space="0"/>
              <w:right w:val="single" w:color="auto" w:sz="4" w:space="0"/>
            </w:tcBorders>
            <w:noWrap w:val="0"/>
            <w:vAlign w:val="center"/>
          </w:tcPr>
          <w:p w14:paraId="0A1A6C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tcBorders>
              <w:top w:val="single" w:color="auto" w:sz="4" w:space="0"/>
              <w:left w:val="single" w:color="auto" w:sz="4" w:space="0"/>
              <w:bottom w:val="single" w:color="auto" w:sz="4" w:space="0"/>
              <w:right w:val="single" w:color="auto" w:sz="4" w:space="0"/>
            </w:tcBorders>
            <w:noWrap w:val="0"/>
            <w:vAlign w:val="center"/>
          </w:tcPr>
          <w:p w14:paraId="336A8A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交通引导</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62A0BB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各种手势必须清晰、规范，手势统一有力，严禁手势误导。</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789BFA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right w:val="single" w:color="auto" w:sz="4" w:space="0"/>
            </w:tcBorders>
            <w:noWrap w:val="0"/>
            <w:vAlign w:val="center"/>
          </w:tcPr>
          <w:p w14:paraId="079B52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17C4FE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61ECC644">
        <w:tblPrEx>
          <w:tblCellMar>
            <w:top w:w="0" w:type="dxa"/>
            <w:left w:w="108" w:type="dxa"/>
            <w:bottom w:w="0" w:type="dxa"/>
            <w:right w:w="108" w:type="dxa"/>
          </w:tblCellMar>
        </w:tblPrEx>
        <w:trPr>
          <w:trHeight w:val="40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3B5014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7</w:t>
            </w:r>
          </w:p>
        </w:tc>
        <w:tc>
          <w:tcPr>
            <w:tcW w:w="408" w:type="pct"/>
            <w:vMerge w:val="continue"/>
            <w:tcBorders>
              <w:left w:val="single" w:color="auto" w:sz="4" w:space="0"/>
              <w:right w:val="single" w:color="auto" w:sz="4" w:space="0"/>
            </w:tcBorders>
            <w:noWrap w:val="0"/>
            <w:vAlign w:val="center"/>
          </w:tcPr>
          <w:p w14:paraId="2D2857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tcBorders>
              <w:top w:val="single" w:color="auto" w:sz="4" w:space="0"/>
              <w:left w:val="single" w:color="auto" w:sz="4" w:space="0"/>
              <w:bottom w:val="single" w:color="auto" w:sz="4" w:space="0"/>
              <w:right w:val="single" w:color="auto" w:sz="4" w:space="0"/>
            </w:tcBorders>
            <w:noWrap w:val="0"/>
            <w:vAlign w:val="center"/>
          </w:tcPr>
          <w:p w14:paraId="5F4EA6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岗位环境</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1CE217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工作、休息区域卫生整洁，各类记录表单、使用器具摆放整齐。</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6BFE0C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right w:val="single" w:color="auto" w:sz="4" w:space="0"/>
            </w:tcBorders>
            <w:noWrap w:val="0"/>
            <w:vAlign w:val="center"/>
          </w:tcPr>
          <w:p w14:paraId="236DE0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00DF40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4911B73E">
        <w:tblPrEx>
          <w:tblCellMar>
            <w:top w:w="0" w:type="dxa"/>
            <w:left w:w="108" w:type="dxa"/>
            <w:bottom w:w="0" w:type="dxa"/>
            <w:right w:w="108" w:type="dxa"/>
          </w:tblCellMar>
        </w:tblPrEx>
        <w:trPr>
          <w:trHeight w:val="40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0823C9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8</w:t>
            </w:r>
          </w:p>
        </w:tc>
        <w:tc>
          <w:tcPr>
            <w:tcW w:w="408" w:type="pct"/>
            <w:vMerge w:val="continue"/>
            <w:tcBorders>
              <w:left w:val="single" w:color="auto" w:sz="4" w:space="0"/>
              <w:bottom w:val="single" w:color="auto" w:sz="4" w:space="0"/>
              <w:right w:val="single" w:color="auto" w:sz="4" w:space="0"/>
            </w:tcBorders>
            <w:noWrap w:val="0"/>
            <w:vAlign w:val="center"/>
          </w:tcPr>
          <w:p w14:paraId="4FA2F8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tcBorders>
              <w:top w:val="single" w:color="auto" w:sz="4" w:space="0"/>
              <w:left w:val="single" w:color="auto" w:sz="4" w:space="0"/>
              <w:bottom w:val="single" w:color="auto" w:sz="4" w:space="0"/>
              <w:right w:val="single" w:color="auto" w:sz="4" w:space="0"/>
            </w:tcBorders>
            <w:noWrap w:val="0"/>
            <w:vAlign w:val="center"/>
          </w:tcPr>
          <w:p w14:paraId="7B96D1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工作纪律</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0A5F69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工作时注意站姿，坐姿、行姿，不得做与工作无关的事情如玩手机，禁止上班时间利用工作身份进行其他活动，如上班时间进行网络直播。</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692784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bottom w:val="single" w:color="auto" w:sz="4" w:space="0"/>
              <w:right w:val="single" w:color="auto" w:sz="4" w:space="0"/>
            </w:tcBorders>
            <w:noWrap w:val="0"/>
            <w:vAlign w:val="center"/>
          </w:tcPr>
          <w:p w14:paraId="2919A0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18C2E0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742B0F5B">
        <w:tblPrEx>
          <w:tblCellMar>
            <w:top w:w="0" w:type="dxa"/>
            <w:left w:w="108" w:type="dxa"/>
            <w:bottom w:w="0" w:type="dxa"/>
            <w:right w:w="108" w:type="dxa"/>
          </w:tblCellMar>
        </w:tblPrEx>
        <w:trPr>
          <w:trHeight w:val="40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3C7C33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9</w:t>
            </w:r>
          </w:p>
        </w:tc>
        <w:tc>
          <w:tcPr>
            <w:tcW w:w="408" w:type="pct"/>
            <w:vMerge w:val="restart"/>
            <w:tcBorders>
              <w:top w:val="single" w:color="auto" w:sz="4" w:space="0"/>
              <w:left w:val="single" w:color="auto" w:sz="4" w:space="0"/>
              <w:right w:val="single" w:color="auto" w:sz="4" w:space="0"/>
            </w:tcBorders>
            <w:noWrap w:val="0"/>
            <w:vAlign w:val="center"/>
          </w:tcPr>
          <w:p w14:paraId="586710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5B0CD5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74EACB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035010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62FFE1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5D2E5E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722FF2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5A4C41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49F085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2D519B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现场管理（50分）</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09636B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工作报告</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473E37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年度、月、周报及其他工作报告及时递交，且文档制作规范。</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5EDDB6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restart"/>
            <w:tcBorders>
              <w:top w:val="single" w:color="auto" w:sz="4" w:space="0"/>
              <w:left w:val="single" w:color="auto" w:sz="4" w:space="0"/>
              <w:right w:val="single" w:color="auto" w:sz="4" w:space="0"/>
            </w:tcBorders>
            <w:noWrap w:val="0"/>
            <w:vAlign w:val="center"/>
          </w:tcPr>
          <w:p w14:paraId="14735E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0058C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453F5C9B">
        <w:tblPrEx>
          <w:tblCellMar>
            <w:top w:w="0" w:type="dxa"/>
            <w:left w:w="108" w:type="dxa"/>
            <w:bottom w:w="0" w:type="dxa"/>
            <w:right w:w="108" w:type="dxa"/>
          </w:tblCellMar>
        </w:tblPrEx>
        <w:trPr>
          <w:trHeight w:val="40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00704A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10</w:t>
            </w:r>
          </w:p>
        </w:tc>
        <w:tc>
          <w:tcPr>
            <w:tcW w:w="408" w:type="pct"/>
            <w:vMerge w:val="continue"/>
            <w:tcBorders>
              <w:left w:val="single" w:color="auto" w:sz="4" w:space="0"/>
              <w:right w:val="single" w:color="auto" w:sz="4" w:space="0"/>
            </w:tcBorders>
            <w:noWrap w:val="0"/>
            <w:vAlign w:val="center"/>
          </w:tcPr>
          <w:p w14:paraId="7CBF03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vMerge w:val="restart"/>
            <w:tcBorders>
              <w:top w:val="single" w:color="auto" w:sz="4" w:space="0"/>
              <w:left w:val="single" w:color="auto" w:sz="4" w:space="0"/>
              <w:right w:val="single" w:color="auto" w:sz="4" w:space="0"/>
            </w:tcBorders>
            <w:noWrap w:val="0"/>
            <w:vAlign w:val="center"/>
          </w:tcPr>
          <w:p w14:paraId="08A977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日常工作记录</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742A80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按计划完成日常治安、消防巡逻工作，并有相应规范记录。病区消防治安巡逻每班不少于2次，全天不少于6次；门诊日诊全天不少于4次，夜诊不少于2次。</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039E3C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2分/次</w:t>
            </w:r>
          </w:p>
        </w:tc>
        <w:tc>
          <w:tcPr>
            <w:tcW w:w="379" w:type="pct"/>
            <w:vMerge w:val="continue"/>
            <w:tcBorders>
              <w:left w:val="single" w:color="auto" w:sz="4" w:space="0"/>
              <w:right w:val="single" w:color="auto" w:sz="4" w:space="0"/>
            </w:tcBorders>
            <w:noWrap w:val="0"/>
            <w:vAlign w:val="center"/>
          </w:tcPr>
          <w:p w14:paraId="754801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7381BD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66414F09">
        <w:tblPrEx>
          <w:tblCellMar>
            <w:top w:w="0" w:type="dxa"/>
            <w:left w:w="108" w:type="dxa"/>
            <w:bottom w:w="0" w:type="dxa"/>
            <w:right w:w="108" w:type="dxa"/>
          </w:tblCellMar>
        </w:tblPrEx>
        <w:trPr>
          <w:trHeight w:val="1205"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13F846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11</w:t>
            </w:r>
          </w:p>
        </w:tc>
        <w:tc>
          <w:tcPr>
            <w:tcW w:w="408" w:type="pct"/>
            <w:vMerge w:val="continue"/>
            <w:tcBorders>
              <w:left w:val="single" w:color="auto" w:sz="4" w:space="0"/>
              <w:right w:val="single" w:color="auto" w:sz="4" w:space="0"/>
            </w:tcBorders>
            <w:noWrap w:val="0"/>
            <w:vAlign w:val="center"/>
          </w:tcPr>
          <w:p w14:paraId="38CA5F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vMerge w:val="continue"/>
            <w:tcBorders>
              <w:left w:val="single" w:color="auto" w:sz="4" w:space="0"/>
              <w:right w:val="single" w:color="auto" w:sz="4" w:space="0"/>
            </w:tcBorders>
            <w:noWrap w:val="0"/>
            <w:vAlign w:val="center"/>
          </w:tcPr>
          <w:p w14:paraId="509688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2182" w:type="pct"/>
            <w:tcBorders>
              <w:top w:val="single" w:color="auto" w:sz="4" w:space="0"/>
              <w:left w:val="single" w:color="auto" w:sz="4" w:space="0"/>
              <w:bottom w:val="single" w:color="auto" w:sz="4" w:space="0"/>
              <w:right w:val="single" w:color="auto" w:sz="4" w:space="0"/>
            </w:tcBorders>
            <w:noWrap w:val="0"/>
            <w:vAlign w:val="center"/>
          </w:tcPr>
          <w:p w14:paraId="535B32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管控外来访客、施工人员、物品进出，确保服务区内无重大治安事件。</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7909B0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right w:val="single" w:color="auto" w:sz="4" w:space="0"/>
            </w:tcBorders>
            <w:noWrap w:val="0"/>
            <w:vAlign w:val="center"/>
          </w:tcPr>
          <w:p w14:paraId="496B58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5E1B95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4C818A2F">
        <w:tblPrEx>
          <w:tblCellMar>
            <w:top w:w="0" w:type="dxa"/>
            <w:left w:w="108" w:type="dxa"/>
            <w:bottom w:w="0" w:type="dxa"/>
            <w:right w:w="108" w:type="dxa"/>
          </w:tblCellMar>
        </w:tblPrEx>
        <w:trPr>
          <w:trHeight w:val="40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3F7FBB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12</w:t>
            </w:r>
          </w:p>
        </w:tc>
        <w:tc>
          <w:tcPr>
            <w:tcW w:w="408" w:type="pct"/>
            <w:vMerge w:val="continue"/>
            <w:tcBorders>
              <w:left w:val="single" w:color="auto" w:sz="4" w:space="0"/>
              <w:right w:val="single" w:color="auto" w:sz="4" w:space="0"/>
            </w:tcBorders>
            <w:noWrap w:val="0"/>
            <w:vAlign w:val="center"/>
          </w:tcPr>
          <w:p w14:paraId="4FC975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vMerge w:val="continue"/>
            <w:tcBorders>
              <w:left w:val="single" w:color="auto" w:sz="4" w:space="0"/>
              <w:right w:val="single" w:color="auto" w:sz="4" w:space="0"/>
            </w:tcBorders>
            <w:noWrap w:val="0"/>
            <w:vAlign w:val="center"/>
          </w:tcPr>
          <w:p w14:paraId="0FA22A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2182" w:type="pct"/>
            <w:tcBorders>
              <w:top w:val="single" w:color="auto" w:sz="4" w:space="0"/>
              <w:left w:val="single" w:color="auto" w:sz="4" w:space="0"/>
              <w:bottom w:val="single" w:color="auto" w:sz="4" w:space="0"/>
              <w:right w:val="single" w:color="auto" w:sz="4" w:space="0"/>
            </w:tcBorders>
            <w:noWrap w:val="0"/>
            <w:vAlign w:val="center"/>
          </w:tcPr>
          <w:p w14:paraId="77CD3C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到岗人员熟悉岗位内安全出口位置和消防器材摆放位置。</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11D3E1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right w:val="single" w:color="auto" w:sz="4" w:space="0"/>
            </w:tcBorders>
            <w:noWrap w:val="0"/>
            <w:vAlign w:val="center"/>
          </w:tcPr>
          <w:p w14:paraId="35B81E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58F320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339996AC">
        <w:tblPrEx>
          <w:tblCellMar>
            <w:top w:w="0" w:type="dxa"/>
            <w:left w:w="108" w:type="dxa"/>
            <w:bottom w:w="0" w:type="dxa"/>
            <w:right w:w="108" w:type="dxa"/>
          </w:tblCellMar>
        </w:tblPrEx>
        <w:trPr>
          <w:trHeight w:val="705"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13CE57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13</w:t>
            </w:r>
          </w:p>
        </w:tc>
        <w:tc>
          <w:tcPr>
            <w:tcW w:w="408" w:type="pct"/>
            <w:vMerge w:val="continue"/>
            <w:tcBorders>
              <w:left w:val="single" w:color="auto" w:sz="4" w:space="0"/>
              <w:right w:val="single" w:color="auto" w:sz="4" w:space="0"/>
            </w:tcBorders>
            <w:noWrap w:val="0"/>
            <w:vAlign w:val="center"/>
          </w:tcPr>
          <w:p w14:paraId="5180D5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vMerge w:val="continue"/>
            <w:tcBorders>
              <w:left w:val="single" w:color="auto" w:sz="4" w:space="0"/>
              <w:bottom w:val="single" w:color="auto" w:sz="4" w:space="0"/>
              <w:right w:val="single" w:color="auto" w:sz="4" w:space="0"/>
            </w:tcBorders>
            <w:noWrap w:val="0"/>
            <w:vAlign w:val="center"/>
          </w:tcPr>
          <w:p w14:paraId="184DBA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2182" w:type="pct"/>
            <w:tcBorders>
              <w:top w:val="single" w:color="auto" w:sz="4" w:space="0"/>
              <w:left w:val="single" w:color="auto" w:sz="4" w:space="0"/>
              <w:bottom w:val="single" w:color="auto" w:sz="4" w:space="0"/>
              <w:right w:val="single" w:color="auto" w:sz="4" w:space="0"/>
            </w:tcBorders>
            <w:noWrap w:val="0"/>
            <w:vAlign w:val="center"/>
          </w:tcPr>
          <w:p w14:paraId="11AF63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日常工作记录表单全面详细符合现场工作要求，并规范存档。</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028A9A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right w:val="single" w:color="auto" w:sz="4" w:space="0"/>
            </w:tcBorders>
            <w:noWrap w:val="0"/>
            <w:vAlign w:val="center"/>
          </w:tcPr>
          <w:p w14:paraId="4FCA18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0D203E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33AE5864">
        <w:tblPrEx>
          <w:tblCellMar>
            <w:top w:w="0" w:type="dxa"/>
            <w:left w:w="108" w:type="dxa"/>
            <w:bottom w:w="0" w:type="dxa"/>
            <w:right w:w="108" w:type="dxa"/>
          </w:tblCellMar>
        </w:tblPrEx>
        <w:trPr>
          <w:trHeight w:val="40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4D5FFD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14</w:t>
            </w:r>
          </w:p>
        </w:tc>
        <w:tc>
          <w:tcPr>
            <w:tcW w:w="408" w:type="pct"/>
            <w:vMerge w:val="continue"/>
            <w:tcBorders>
              <w:left w:val="single" w:color="auto" w:sz="4" w:space="0"/>
              <w:right w:val="single" w:color="auto" w:sz="4" w:space="0"/>
            </w:tcBorders>
            <w:noWrap w:val="0"/>
            <w:vAlign w:val="center"/>
          </w:tcPr>
          <w:p w14:paraId="3893FD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tcBorders>
              <w:top w:val="single" w:color="auto" w:sz="4" w:space="0"/>
              <w:left w:val="single" w:color="auto" w:sz="4" w:space="0"/>
              <w:bottom w:val="single" w:color="auto" w:sz="4" w:space="0"/>
              <w:right w:val="single" w:color="auto" w:sz="4" w:space="0"/>
            </w:tcBorders>
            <w:noWrap w:val="0"/>
            <w:vAlign w:val="center"/>
          </w:tcPr>
          <w:p w14:paraId="7A2533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探视管理</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16FF39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做好住院楼出入口、产科探视管理，落实探视制度，无偷盗婴儿案件发生。</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050336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3分/次</w:t>
            </w:r>
          </w:p>
        </w:tc>
        <w:tc>
          <w:tcPr>
            <w:tcW w:w="379" w:type="pct"/>
            <w:vMerge w:val="continue"/>
            <w:tcBorders>
              <w:left w:val="single" w:color="auto" w:sz="4" w:space="0"/>
              <w:right w:val="single" w:color="auto" w:sz="4" w:space="0"/>
            </w:tcBorders>
            <w:noWrap w:val="0"/>
            <w:vAlign w:val="center"/>
          </w:tcPr>
          <w:p w14:paraId="347ADB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78B33B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0EE5FE19">
        <w:tblPrEx>
          <w:tblCellMar>
            <w:top w:w="0" w:type="dxa"/>
            <w:left w:w="108" w:type="dxa"/>
            <w:bottom w:w="0" w:type="dxa"/>
            <w:right w:w="108" w:type="dxa"/>
          </w:tblCellMar>
        </w:tblPrEx>
        <w:trPr>
          <w:trHeight w:val="765"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0A3E54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15</w:t>
            </w:r>
          </w:p>
        </w:tc>
        <w:tc>
          <w:tcPr>
            <w:tcW w:w="408" w:type="pct"/>
            <w:vMerge w:val="continue"/>
            <w:tcBorders>
              <w:left w:val="single" w:color="auto" w:sz="4" w:space="0"/>
              <w:right w:val="single" w:color="auto" w:sz="4" w:space="0"/>
            </w:tcBorders>
            <w:noWrap w:val="0"/>
            <w:vAlign w:val="center"/>
          </w:tcPr>
          <w:p w14:paraId="6B7371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tcBorders>
              <w:top w:val="single" w:color="auto" w:sz="4" w:space="0"/>
              <w:left w:val="single" w:color="auto" w:sz="4" w:space="0"/>
              <w:bottom w:val="single" w:color="auto" w:sz="4" w:space="0"/>
              <w:right w:val="single" w:color="auto" w:sz="4" w:space="0"/>
            </w:tcBorders>
            <w:noWrap w:val="0"/>
            <w:vAlign w:val="center"/>
          </w:tcPr>
          <w:p w14:paraId="30D14A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车辆管理</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58C12B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val="en-US" w:eastAsia="zh-CN"/>
              </w:rPr>
              <w:t>所有车辆按划线车位停放</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val="en-US" w:eastAsia="zh-CN"/>
              </w:rPr>
              <w:t>院内车辆满位</w:t>
            </w:r>
            <w:r>
              <w:rPr>
                <w:rFonts w:hint="eastAsia" w:ascii="微软雅黑" w:hAnsi="微软雅黑" w:eastAsia="微软雅黑" w:cs="微软雅黑"/>
                <w:color w:val="auto"/>
                <w:sz w:val="18"/>
                <w:szCs w:val="18"/>
              </w:rPr>
              <w:t>时，应该解释清楚原因，劝导到院外停放，沟通过程中应该使用文明用语，语言清晰明了。现场机动车与非机动车停放有序，及时处理违章停放。</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4F6A95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right w:val="single" w:color="auto" w:sz="4" w:space="0"/>
            </w:tcBorders>
            <w:noWrap w:val="0"/>
            <w:vAlign w:val="center"/>
          </w:tcPr>
          <w:p w14:paraId="7D822F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0902D4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1CF7647F">
        <w:tblPrEx>
          <w:tblCellMar>
            <w:top w:w="0" w:type="dxa"/>
            <w:left w:w="108" w:type="dxa"/>
            <w:bottom w:w="0" w:type="dxa"/>
            <w:right w:w="108" w:type="dxa"/>
          </w:tblCellMar>
        </w:tblPrEx>
        <w:trPr>
          <w:trHeight w:val="647"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4BFB43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16</w:t>
            </w:r>
          </w:p>
        </w:tc>
        <w:tc>
          <w:tcPr>
            <w:tcW w:w="408" w:type="pct"/>
            <w:vMerge w:val="continue"/>
            <w:tcBorders>
              <w:left w:val="single" w:color="auto" w:sz="4" w:space="0"/>
              <w:right w:val="single" w:color="auto" w:sz="4" w:space="0"/>
            </w:tcBorders>
            <w:noWrap w:val="0"/>
            <w:vAlign w:val="center"/>
          </w:tcPr>
          <w:p w14:paraId="76B1D6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vMerge w:val="restart"/>
            <w:tcBorders>
              <w:top w:val="single" w:color="auto" w:sz="4" w:space="0"/>
              <w:left w:val="single" w:color="auto" w:sz="4" w:space="0"/>
              <w:right w:val="single" w:color="auto" w:sz="4" w:space="0"/>
            </w:tcBorders>
            <w:noWrap w:val="0"/>
            <w:vAlign w:val="center"/>
          </w:tcPr>
          <w:p w14:paraId="650A20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特别事件报告</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771222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突发事件3分钟内上报指定领导。</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11EF48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right w:val="single" w:color="auto" w:sz="4" w:space="0"/>
            </w:tcBorders>
            <w:noWrap w:val="0"/>
            <w:vAlign w:val="center"/>
          </w:tcPr>
          <w:p w14:paraId="36FF9B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10F000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2011303B">
        <w:tblPrEx>
          <w:tblCellMar>
            <w:top w:w="0" w:type="dxa"/>
            <w:left w:w="108" w:type="dxa"/>
            <w:bottom w:w="0" w:type="dxa"/>
            <w:right w:w="108" w:type="dxa"/>
          </w:tblCellMar>
        </w:tblPrEx>
        <w:trPr>
          <w:trHeight w:val="1160"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23CEEE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17</w:t>
            </w:r>
          </w:p>
        </w:tc>
        <w:tc>
          <w:tcPr>
            <w:tcW w:w="408" w:type="pct"/>
            <w:vMerge w:val="continue"/>
            <w:tcBorders>
              <w:left w:val="single" w:color="auto" w:sz="4" w:space="0"/>
              <w:right w:val="single" w:color="auto" w:sz="4" w:space="0"/>
            </w:tcBorders>
            <w:noWrap w:val="0"/>
            <w:vAlign w:val="center"/>
          </w:tcPr>
          <w:p w14:paraId="14ADB5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vMerge w:val="continue"/>
            <w:tcBorders>
              <w:left w:val="single" w:color="auto" w:sz="4" w:space="0"/>
              <w:bottom w:val="single" w:color="auto" w:sz="4" w:space="0"/>
              <w:right w:val="single" w:color="auto" w:sz="4" w:space="0"/>
            </w:tcBorders>
            <w:noWrap w:val="0"/>
            <w:vAlign w:val="center"/>
          </w:tcPr>
          <w:p w14:paraId="0DA4DE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2182" w:type="pct"/>
            <w:tcBorders>
              <w:top w:val="single" w:color="auto" w:sz="4" w:space="0"/>
              <w:left w:val="single" w:color="auto" w:sz="4" w:space="0"/>
              <w:bottom w:val="single" w:color="auto" w:sz="4" w:space="0"/>
              <w:right w:val="single" w:color="auto" w:sz="4" w:space="0"/>
            </w:tcBorders>
            <w:noWrap w:val="0"/>
            <w:vAlign w:val="center"/>
          </w:tcPr>
          <w:p w14:paraId="2E5FE7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次日提交报事件报告，写作规范，内容详实，证据充分。</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529871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right w:val="single" w:color="auto" w:sz="4" w:space="0"/>
            </w:tcBorders>
            <w:noWrap w:val="0"/>
            <w:vAlign w:val="center"/>
          </w:tcPr>
          <w:p w14:paraId="71D313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354DF5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5E9A353C">
        <w:tblPrEx>
          <w:tblCellMar>
            <w:top w:w="0" w:type="dxa"/>
            <w:left w:w="108" w:type="dxa"/>
            <w:bottom w:w="0" w:type="dxa"/>
            <w:right w:w="108" w:type="dxa"/>
          </w:tblCellMar>
        </w:tblPrEx>
        <w:trPr>
          <w:trHeight w:val="402" w:hRule="atLeast"/>
        </w:trPr>
        <w:tc>
          <w:tcPr>
            <w:tcW w:w="34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507E4D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18</w:t>
            </w:r>
          </w:p>
        </w:tc>
        <w:tc>
          <w:tcPr>
            <w:tcW w:w="408" w:type="pct"/>
            <w:vMerge w:val="continue"/>
            <w:tcBorders>
              <w:left w:val="single" w:color="auto" w:sz="4" w:space="0"/>
              <w:right w:val="single" w:color="auto" w:sz="4" w:space="0"/>
            </w:tcBorders>
            <w:shd w:val="clear" w:color="auto" w:fill="auto"/>
            <w:noWrap w:val="0"/>
            <w:vAlign w:val="center"/>
          </w:tcPr>
          <w:p w14:paraId="7E1493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vMerge w:val="restart"/>
            <w:tcBorders>
              <w:top w:val="single" w:color="auto" w:sz="4" w:space="0"/>
              <w:left w:val="single" w:color="auto" w:sz="4" w:space="0"/>
              <w:right w:val="single" w:color="auto" w:sz="4" w:space="0"/>
            </w:tcBorders>
            <w:shd w:val="clear" w:color="auto" w:fill="auto"/>
            <w:noWrap w:val="0"/>
            <w:vAlign w:val="center"/>
          </w:tcPr>
          <w:p w14:paraId="4C1455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岗位职责</w:t>
            </w:r>
          </w:p>
        </w:tc>
        <w:tc>
          <w:tcPr>
            <w:tcW w:w="2182" w:type="pct"/>
            <w:tcBorders>
              <w:top w:val="single" w:color="auto" w:sz="4" w:space="0"/>
              <w:left w:val="single" w:color="auto" w:sz="4" w:space="0"/>
              <w:bottom w:val="single" w:color="auto" w:sz="4" w:space="0"/>
              <w:right w:val="single" w:color="auto" w:sz="4" w:space="0"/>
            </w:tcBorders>
            <w:shd w:val="solid" w:color="FFFFFF" w:fill="auto"/>
            <w:noWrap w:val="0"/>
            <w:vAlign w:val="center"/>
          </w:tcPr>
          <w:p w14:paraId="4E4C4E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各岗位队员熟知本岗位职责，不得离岗、脱岗、睡岗，遇到询问，严禁以事不关已的态度对待，应耐心解答，如自己不清楚，应向班长或医务人员求助，或者引导他向其他工作人员咨询。</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7DBDD7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2分/次</w:t>
            </w:r>
          </w:p>
        </w:tc>
        <w:tc>
          <w:tcPr>
            <w:tcW w:w="379" w:type="pct"/>
            <w:vMerge w:val="continue"/>
            <w:tcBorders>
              <w:left w:val="single" w:color="auto" w:sz="4" w:space="0"/>
              <w:right w:val="single" w:color="auto" w:sz="4" w:space="0"/>
            </w:tcBorders>
            <w:noWrap w:val="0"/>
            <w:vAlign w:val="center"/>
          </w:tcPr>
          <w:p w14:paraId="2596DD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11BF97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3508B616">
        <w:tblPrEx>
          <w:tblCellMar>
            <w:top w:w="0" w:type="dxa"/>
            <w:left w:w="108" w:type="dxa"/>
            <w:bottom w:w="0" w:type="dxa"/>
            <w:right w:w="108" w:type="dxa"/>
          </w:tblCellMar>
        </w:tblPrEx>
        <w:trPr>
          <w:trHeight w:val="40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172ED6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19</w:t>
            </w:r>
          </w:p>
        </w:tc>
        <w:tc>
          <w:tcPr>
            <w:tcW w:w="408" w:type="pct"/>
            <w:vMerge w:val="continue"/>
            <w:tcBorders>
              <w:left w:val="single" w:color="auto" w:sz="4" w:space="0"/>
              <w:right w:val="single" w:color="auto" w:sz="4" w:space="0"/>
            </w:tcBorders>
            <w:noWrap w:val="0"/>
            <w:vAlign w:val="center"/>
          </w:tcPr>
          <w:p w14:paraId="706043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vMerge w:val="continue"/>
            <w:tcBorders>
              <w:left w:val="single" w:color="auto" w:sz="4" w:space="0"/>
              <w:right w:val="single" w:color="auto" w:sz="4" w:space="0"/>
            </w:tcBorders>
            <w:noWrap w:val="0"/>
            <w:vAlign w:val="center"/>
          </w:tcPr>
          <w:p w14:paraId="1DBFFB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2182" w:type="pct"/>
            <w:tcBorders>
              <w:top w:val="single" w:color="auto" w:sz="4" w:space="0"/>
              <w:left w:val="single" w:color="auto" w:sz="4" w:space="0"/>
              <w:bottom w:val="single" w:color="auto" w:sz="4" w:space="0"/>
              <w:right w:val="single" w:color="auto" w:sz="4" w:space="0"/>
            </w:tcBorders>
            <w:noWrap w:val="0"/>
            <w:vAlign w:val="center"/>
          </w:tcPr>
          <w:p w14:paraId="2D2102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每周不得低于1次查夜工作，有问题及时报告处理。管理人员请假，应先经过公司直属领导批准，公司批准后再向医院保卫科负责人报备，同时安排好相关负责人接替工作，否则视为旷工。</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6985F1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right w:val="single" w:color="auto" w:sz="4" w:space="0"/>
            </w:tcBorders>
            <w:noWrap w:val="0"/>
            <w:vAlign w:val="center"/>
          </w:tcPr>
          <w:p w14:paraId="3B8495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485E09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1E591EEC">
        <w:tblPrEx>
          <w:tblCellMar>
            <w:top w:w="0" w:type="dxa"/>
            <w:left w:w="108" w:type="dxa"/>
            <w:bottom w:w="0" w:type="dxa"/>
            <w:right w:w="108" w:type="dxa"/>
          </w:tblCellMar>
        </w:tblPrEx>
        <w:trPr>
          <w:trHeight w:val="1020"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524164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20</w:t>
            </w:r>
          </w:p>
        </w:tc>
        <w:tc>
          <w:tcPr>
            <w:tcW w:w="408" w:type="pct"/>
            <w:vMerge w:val="continue"/>
            <w:tcBorders>
              <w:left w:val="single" w:color="auto" w:sz="4" w:space="0"/>
              <w:right w:val="single" w:color="auto" w:sz="4" w:space="0"/>
            </w:tcBorders>
            <w:noWrap w:val="0"/>
            <w:vAlign w:val="center"/>
          </w:tcPr>
          <w:p w14:paraId="1F1A5D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vMerge w:val="continue"/>
            <w:tcBorders>
              <w:left w:val="single" w:color="auto" w:sz="4" w:space="0"/>
              <w:right w:val="single" w:color="auto" w:sz="4" w:space="0"/>
            </w:tcBorders>
            <w:noWrap w:val="0"/>
            <w:vAlign w:val="center"/>
          </w:tcPr>
          <w:p w14:paraId="436A63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2182" w:type="pct"/>
            <w:tcBorders>
              <w:top w:val="single" w:color="auto" w:sz="4" w:space="0"/>
              <w:left w:val="single" w:color="auto" w:sz="4" w:space="0"/>
              <w:bottom w:val="single" w:color="auto" w:sz="4" w:space="0"/>
              <w:right w:val="single" w:color="auto" w:sz="4" w:space="0"/>
            </w:tcBorders>
            <w:noWrap w:val="0"/>
            <w:vAlign w:val="center"/>
          </w:tcPr>
          <w:p w14:paraId="2321DD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责任区域内，无投诉、无报警、无安全事故，如被投诉，一经查实，将严肃处理。</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6D1676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2分/次</w:t>
            </w:r>
          </w:p>
        </w:tc>
        <w:tc>
          <w:tcPr>
            <w:tcW w:w="379" w:type="pct"/>
            <w:vMerge w:val="continue"/>
            <w:tcBorders>
              <w:left w:val="single" w:color="auto" w:sz="4" w:space="0"/>
              <w:right w:val="single" w:color="auto" w:sz="4" w:space="0"/>
            </w:tcBorders>
            <w:noWrap w:val="0"/>
            <w:vAlign w:val="center"/>
          </w:tcPr>
          <w:p w14:paraId="793F98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6D4406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4596540E">
        <w:tblPrEx>
          <w:tblCellMar>
            <w:top w:w="0" w:type="dxa"/>
            <w:left w:w="108" w:type="dxa"/>
            <w:bottom w:w="0" w:type="dxa"/>
            <w:right w:w="108" w:type="dxa"/>
          </w:tblCellMar>
        </w:tblPrEx>
        <w:trPr>
          <w:trHeight w:val="40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4FB4DF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08" w:type="pct"/>
            <w:vMerge w:val="continue"/>
            <w:tcBorders>
              <w:left w:val="single" w:color="auto" w:sz="4" w:space="0"/>
              <w:right w:val="single" w:color="auto" w:sz="4" w:space="0"/>
            </w:tcBorders>
            <w:noWrap w:val="0"/>
            <w:vAlign w:val="center"/>
          </w:tcPr>
          <w:p w14:paraId="724AFB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vMerge w:val="continue"/>
            <w:tcBorders>
              <w:left w:val="single" w:color="auto" w:sz="4" w:space="0"/>
              <w:bottom w:val="single" w:color="auto" w:sz="4" w:space="0"/>
              <w:right w:val="single" w:color="auto" w:sz="4" w:space="0"/>
            </w:tcBorders>
            <w:noWrap w:val="0"/>
            <w:vAlign w:val="center"/>
          </w:tcPr>
          <w:p w14:paraId="609CDB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2182" w:type="pct"/>
            <w:tcBorders>
              <w:top w:val="single" w:color="auto" w:sz="4" w:space="0"/>
              <w:left w:val="single" w:color="auto" w:sz="4" w:space="0"/>
              <w:bottom w:val="single" w:color="auto" w:sz="4" w:space="0"/>
              <w:right w:val="single" w:color="auto" w:sz="4" w:space="0"/>
            </w:tcBorders>
            <w:noWrap w:val="0"/>
            <w:vAlign w:val="center"/>
          </w:tcPr>
          <w:p w14:paraId="335245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不得以医院工作身份进行任何形式的宣传，如有必要需向医院提出申请。</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5A139F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right w:val="single" w:color="auto" w:sz="4" w:space="0"/>
            </w:tcBorders>
            <w:noWrap w:val="0"/>
            <w:vAlign w:val="center"/>
          </w:tcPr>
          <w:p w14:paraId="647D58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6396C1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10C6842A">
        <w:tblPrEx>
          <w:tblCellMar>
            <w:top w:w="0" w:type="dxa"/>
            <w:left w:w="108" w:type="dxa"/>
            <w:bottom w:w="0" w:type="dxa"/>
            <w:right w:w="108" w:type="dxa"/>
          </w:tblCellMar>
        </w:tblPrEx>
        <w:trPr>
          <w:trHeight w:val="40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61959C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21</w:t>
            </w:r>
          </w:p>
        </w:tc>
        <w:tc>
          <w:tcPr>
            <w:tcW w:w="408" w:type="pct"/>
            <w:vMerge w:val="continue"/>
            <w:tcBorders>
              <w:left w:val="single" w:color="auto" w:sz="4" w:space="0"/>
              <w:right w:val="single" w:color="auto" w:sz="4" w:space="0"/>
            </w:tcBorders>
            <w:noWrap w:val="0"/>
            <w:vAlign w:val="center"/>
          </w:tcPr>
          <w:p w14:paraId="75A91B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vMerge w:val="restart"/>
            <w:tcBorders>
              <w:top w:val="single" w:color="auto" w:sz="4" w:space="0"/>
              <w:left w:val="single" w:color="auto" w:sz="4" w:space="0"/>
              <w:right w:val="single" w:color="auto" w:sz="4" w:space="0"/>
            </w:tcBorders>
            <w:noWrap w:val="0"/>
            <w:vAlign w:val="center"/>
          </w:tcPr>
          <w:p w14:paraId="2ED5CC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快速反应</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592E0E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制定符合现场突发事件应急预案，每半年进行至少一次消防安全预案演练，每年至少进行一次治安保卫预案演练，在岗员工必须熟悉预案流程。</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6439D9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2分/次</w:t>
            </w:r>
          </w:p>
        </w:tc>
        <w:tc>
          <w:tcPr>
            <w:tcW w:w="379" w:type="pct"/>
            <w:vMerge w:val="continue"/>
            <w:tcBorders>
              <w:left w:val="single" w:color="auto" w:sz="4" w:space="0"/>
              <w:right w:val="single" w:color="auto" w:sz="4" w:space="0"/>
            </w:tcBorders>
            <w:noWrap w:val="0"/>
            <w:vAlign w:val="center"/>
          </w:tcPr>
          <w:p w14:paraId="2C2AB8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2E955C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050DEF0E">
        <w:tblPrEx>
          <w:tblCellMar>
            <w:top w:w="0" w:type="dxa"/>
            <w:left w:w="108" w:type="dxa"/>
            <w:bottom w:w="0" w:type="dxa"/>
            <w:right w:w="108" w:type="dxa"/>
          </w:tblCellMar>
        </w:tblPrEx>
        <w:trPr>
          <w:trHeight w:val="82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12BA02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22</w:t>
            </w:r>
          </w:p>
        </w:tc>
        <w:tc>
          <w:tcPr>
            <w:tcW w:w="408" w:type="pct"/>
            <w:vMerge w:val="continue"/>
            <w:tcBorders>
              <w:left w:val="single" w:color="auto" w:sz="4" w:space="0"/>
              <w:bottom w:val="single" w:color="auto" w:sz="4" w:space="0"/>
              <w:right w:val="single" w:color="auto" w:sz="4" w:space="0"/>
            </w:tcBorders>
            <w:noWrap w:val="0"/>
            <w:vAlign w:val="center"/>
          </w:tcPr>
          <w:p w14:paraId="3BC144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vMerge w:val="continue"/>
            <w:tcBorders>
              <w:left w:val="single" w:color="auto" w:sz="4" w:space="0"/>
              <w:bottom w:val="single" w:color="auto" w:sz="4" w:space="0"/>
              <w:right w:val="single" w:color="auto" w:sz="4" w:space="0"/>
            </w:tcBorders>
            <w:noWrap w:val="0"/>
            <w:vAlign w:val="center"/>
          </w:tcPr>
          <w:p w14:paraId="03B3B7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2182" w:type="pct"/>
            <w:tcBorders>
              <w:top w:val="single" w:color="auto" w:sz="4" w:space="0"/>
              <w:left w:val="single" w:color="auto" w:sz="4" w:space="0"/>
              <w:bottom w:val="single" w:color="auto" w:sz="4" w:space="0"/>
              <w:right w:val="single" w:color="auto" w:sz="4" w:space="0"/>
            </w:tcBorders>
            <w:noWrap w:val="0"/>
            <w:vAlign w:val="center"/>
          </w:tcPr>
          <w:p w14:paraId="309A0F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面对突发事件及时到达现场并作出合理处置及报告程序合理。做到1分钟内辖区保安到位，3分钟内支援保安到位。</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3825DF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bottom w:val="single" w:color="auto" w:sz="4" w:space="0"/>
              <w:right w:val="single" w:color="auto" w:sz="4" w:space="0"/>
            </w:tcBorders>
            <w:noWrap w:val="0"/>
            <w:vAlign w:val="center"/>
          </w:tcPr>
          <w:p w14:paraId="51EEC6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4736ED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682DD1CE">
        <w:tblPrEx>
          <w:tblCellMar>
            <w:top w:w="0" w:type="dxa"/>
            <w:left w:w="108" w:type="dxa"/>
            <w:bottom w:w="0" w:type="dxa"/>
            <w:right w:w="108" w:type="dxa"/>
          </w:tblCellMar>
        </w:tblPrEx>
        <w:trPr>
          <w:trHeight w:val="795"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77B0ED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23</w:t>
            </w:r>
          </w:p>
        </w:tc>
        <w:tc>
          <w:tcPr>
            <w:tcW w:w="408" w:type="pct"/>
            <w:vMerge w:val="restart"/>
            <w:tcBorders>
              <w:top w:val="single" w:color="auto" w:sz="4" w:space="0"/>
              <w:left w:val="single" w:color="auto" w:sz="4" w:space="0"/>
              <w:right w:val="single" w:color="auto" w:sz="4" w:space="0"/>
            </w:tcBorders>
            <w:noWrap w:val="0"/>
            <w:vAlign w:val="center"/>
          </w:tcPr>
          <w:p w14:paraId="7D948B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6FC459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7F67E9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02BD39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培训  （10分）</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56D329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岗前培训</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2A31B1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员工上岗前接受不低于3天的岗前培训（治安、消防），并能独立操作。</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30108C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restart"/>
            <w:tcBorders>
              <w:top w:val="single" w:color="auto" w:sz="4" w:space="0"/>
              <w:left w:val="single" w:color="auto" w:sz="4" w:space="0"/>
              <w:right w:val="single" w:color="auto" w:sz="4" w:space="0"/>
            </w:tcBorders>
            <w:noWrap w:val="0"/>
            <w:vAlign w:val="center"/>
          </w:tcPr>
          <w:p w14:paraId="004E5F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0B0CD5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1EFFF5A4">
        <w:tblPrEx>
          <w:tblCellMar>
            <w:top w:w="0" w:type="dxa"/>
            <w:left w:w="108" w:type="dxa"/>
            <w:bottom w:w="0" w:type="dxa"/>
            <w:right w:w="108" w:type="dxa"/>
          </w:tblCellMar>
        </w:tblPrEx>
        <w:trPr>
          <w:trHeight w:val="40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4898F7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24</w:t>
            </w:r>
          </w:p>
        </w:tc>
        <w:tc>
          <w:tcPr>
            <w:tcW w:w="408" w:type="pct"/>
            <w:vMerge w:val="continue"/>
            <w:tcBorders>
              <w:left w:val="single" w:color="auto" w:sz="4" w:space="0"/>
              <w:right w:val="single" w:color="auto" w:sz="4" w:space="0"/>
            </w:tcBorders>
            <w:noWrap w:val="0"/>
            <w:vAlign w:val="center"/>
          </w:tcPr>
          <w:p w14:paraId="23E298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vMerge w:val="restart"/>
            <w:tcBorders>
              <w:top w:val="single" w:color="auto" w:sz="4" w:space="0"/>
              <w:left w:val="single" w:color="auto" w:sz="4" w:space="0"/>
              <w:right w:val="single" w:color="auto" w:sz="4" w:space="0"/>
            </w:tcBorders>
            <w:noWrap w:val="0"/>
            <w:vAlign w:val="center"/>
          </w:tcPr>
          <w:p w14:paraId="6387CB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制度考核</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5D929E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每月一次常规技能培训，并有完整培训内容及记录存档。</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588805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right w:val="single" w:color="auto" w:sz="4" w:space="0"/>
            </w:tcBorders>
            <w:noWrap w:val="0"/>
            <w:vAlign w:val="center"/>
          </w:tcPr>
          <w:p w14:paraId="42B8BC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251C6D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5F3F9E74">
        <w:tblPrEx>
          <w:tblCellMar>
            <w:top w:w="0" w:type="dxa"/>
            <w:left w:w="108" w:type="dxa"/>
            <w:bottom w:w="0" w:type="dxa"/>
            <w:right w:w="108" w:type="dxa"/>
          </w:tblCellMar>
        </w:tblPrEx>
        <w:trPr>
          <w:trHeight w:val="40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0354B4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25</w:t>
            </w:r>
          </w:p>
        </w:tc>
        <w:tc>
          <w:tcPr>
            <w:tcW w:w="408" w:type="pct"/>
            <w:vMerge w:val="continue"/>
            <w:tcBorders>
              <w:left w:val="single" w:color="auto" w:sz="4" w:space="0"/>
              <w:right w:val="single" w:color="auto" w:sz="4" w:space="0"/>
            </w:tcBorders>
            <w:noWrap w:val="0"/>
            <w:vAlign w:val="center"/>
          </w:tcPr>
          <w:p w14:paraId="023F8F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vMerge w:val="continue"/>
            <w:tcBorders>
              <w:left w:val="single" w:color="auto" w:sz="4" w:space="0"/>
              <w:bottom w:val="single" w:color="auto" w:sz="4" w:space="0"/>
              <w:right w:val="single" w:color="auto" w:sz="4" w:space="0"/>
            </w:tcBorders>
            <w:noWrap w:val="0"/>
            <w:vAlign w:val="center"/>
          </w:tcPr>
          <w:p w14:paraId="316D65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2182" w:type="pct"/>
            <w:tcBorders>
              <w:top w:val="single" w:color="auto" w:sz="4" w:space="0"/>
              <w:left w:val="single" w:color="auto" w:sz="4" w:space="0"/>
              <w:bottom w:val="single" w:color="auto" w:sz="4" w:space="0"/>
              <w:right w:val="single" w:color="auto" w:sz="4" w:space="0"/>
            </w:tcBorders>
            <w:noWrap w:val="0"/>
            <w:vAlign w:val="center"/>
          </w:tcPr>
          <w:p w14:paraId="62500E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制订相应考核计划及制定，并切实执行做到不脱节、不滞后。</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792858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right w:val="single" w:color="auto" w:sz="4" w:space="0"/>
            </w:tcBorders>
            <w:noWrap w:val="0"/>
            <w:vAlign w:val="center"/>
          </w:tcPr>
          <w:p w14:paraId="419035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6F7A01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064B46F9">
        <w:tblPrEx>
          <w:tblCellMar>
            <w:top w:w="0" w:type="dxa"/>
            <w:left w:w="108" w:type="dxa"/>
            <w:bottom w:w="0" w:type="dxa"/>
            <w:right w:w="108" w:type="dxa"/>
          </w:tblCellMar>
        </w:tblPrEx>
        <w:trPr>
          <w:trHeight w:val="619"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144190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26</w:t>
            </w:r>
          </w:p>
        </w:tc>
        <w:tc>
          <w:tcPr>
            <w:tcW w:w="408" w:type="pct"/>
            <w:vMerge w:val="continue"/>
            <w:tcBorders>
              <w:left w:val="single" w:color="auto" w:sz="4" w:space="0"/>
              <w:right w:val="single" w:color="auto" w:sz="4" w:space="0"/>
            </w:tcBorders>
            <w:noWrap w:val="0"/>
            <w:vAlign w:val="center"/>
          </w:tcPr>
          <w:p w14:paraId="4111D2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vMerge w:val="restart"/>
            <w:tcBorders>
              <w:top w:val="single" w:color="auto" w:sz="4" w:space="0"/>
              <w:left w:val="single" w:color="auto" w:sz="4" w:space="0"/>
              <w:right w:val="single" w:color="auto" w:sz="4" w:space="0"/>
            </w:tcBorders>
            <w:noWrap w:val="0"/>
            <w:vAlign w:val="center"/>
          </w:tcPr>
          <w:p w14:paraId="7FAD7B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设备使用</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2D645F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按现场要求规范使用对讲机、巡更棒等保安器具及设备。</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44F78F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right w:val="single" w:color="auto" w:sz="4" w:space="0"/>
            </w:tcBorders>
            <w:noWrap w:val="0"/>
            <w:vAlign w:val="center"/>
          </w:tcPr>
          <w:p w14:paraId="6A1222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06B190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4F8C3D6F">
        <w:tblPrEx>
          <w:tblCellMar>
            <w:top w:w="0" w:type="dxa"/>
            <w:left w:w="108" w:type="dxa"/>
            <w:bottom w:w="0" w:type="dxa"/>
            <w:right w:w="108" w:type="dxa"/>
          </w:tblCellMar>
        </w:tblPrEx>
        <w:trPr>
          <w:trHeight w:val="770"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0CC550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27</w:t>
            </w:r>
          </w:p>
        </w:tc>
        <w:tc>
          <w:tcPr>
            <w:tcW w:w="408" w:type="pct"/>
            <w:vMerge w:val="continue"/>
            <w:tcBorders>
              <w:left w:val="single" w:color="auto" w:sz="4" w:space="0"/>
              <w:bottom w:val="single" w:color="auto" w:sz="4" w:space="0"/>
              <w:right w:val="single" w:color="auto" w:sz="4" w:space="0"/>
            </w:tcBorders>
            <w:noWrap w:val="0"/>
            <w:vAlign w:val="center"/>
          </w:tcPr>
          <w:p w14:paraId="713E89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vMerge w:val="continue"/>
            <w:tcBorders>
              <w:left w:val="single" w:color="auto" w:sz="4" w:space="0"/>
              <w:bottom w:val="single" w:color="auto" w:sz="4" w:space="0"/>
              <w:right w:val="single" w:color="auto" w:sz="4" w:space="0"/>
            </w:tcBorders>
            <w:noWrap w:val="0"/>
            <w:vAlign w:val="center"/>
          </w:tcPr>
          <w:p w14:paraId="685185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2182" w:type="pct"/>
            <w:tcBorders>
              <w:top w:val="single" w:color="auto" w:sz="4" w:space="0"/>
              <w:left w:val="single" w:color="auto" w:sz="4" w:space="0"/>
              <w:bottom w:val="single" w:color="auto" w:sz="4" w:space="0"/>
              <w:right w:val="single" w:color="auto" w:sz="4" w:space="0"/>
            </w:tcBorders>
            <w:noWrap w:val="0"/>
            <w:vAlign w:val="center"/>
          </w:tcPr>
          <w:p w14:paraId="0E7620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造成医院各类设施、设备损坏，需按价赔偿。</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605850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bottom w:val="single" w:color="auto" w:sz="4" w:space="0"/>
              <w:right w:val="single" w:color="auto" w:sz="4" w:space="0"/>
            </w:tcBorders>
            <w:noWrap w:val="0"/>
            <w:vAlign w:val="center"/>
          </w:tcPr>
          <w:p w14:paraId="542F9B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307525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7A44B7D9">
        <w:tblPrEx>
          <w:tblCellMar>
            <w:top w:w="0" w:type="dxa"/>
            <w:left w:w="108" w:type="dxa"/>
            <w:bottom w:w="0" w:type="dxa"/>
            <w:right w:w="108" w:type="dxa"/>
          </w:tblCellMar>
        </w:tblPrEx>
        <w:trPr>
          <w:trHeight w:val="40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188FD1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28</w:t>
            </w:r>
          </w:p>
        </w:tc>
        <w:tc>
          <w:tcPr>
            <w:tcW w:w="408" w:type="pct"/>
            <w:vMerge w:val="restart"/>
            <w:tcBorders>
              <w:top w:val="single" w:color="auto" w:sz="4" w:space="0"/>
              <w:left w:val="single" w:color="auto" w:sz="4" w:space="0"/>
              <w:right w:val="single" w:color="auto" w:sz="4" w:space="0"/>
            </w:tcBorders>
            <w:noWrap w:val="0"/>
            <w:vAlign w:val="center"/>
          </w:tcPr>
          <w:p w14:paraId="5808EA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p w14:paraId="6D312E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工作配合及沟通     （10分）</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0370C0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执行力</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2F0457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及时有效传达</w:t>
            </w:r>
            <w:r>
              <w:rPr>
                <w:rFonts w:hint="eastAsia" w:ascii="微软雅黑" w:hAnsi="微软雅黑" w:eastAsia="微软雅黑" w:cs="微软雅黑"/>
                <w:color w:val="auto"/>
                <w:sz w:val="18"/>
                <w:szCs w:val="18"/>
                <w:lang w:val="en-US" w:eastAsia="zh-CN"/>
              </w:rPr>
              <w:t>保卫</w:t>
            </w:r>
            <w:r>
              <w:rPr>
                <w:rFonts w:hint="eastAsia" w:ascii="微软雅黑" w:hAnsi="微软雅黑" w:eastAsia="微软雅黑" w:cs="微软雅黑"/>
                <w:color w:val="auto"/>
                <w:sz w:val="18"/>
                <w:szCs w:val="18"/>
              </w:rPr>
              <w:t>处布置的各阶段工作重点及任务，保证其落实执行并及时反馈。</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53EDEE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2分/次</w:t>
            </w:r>
          </w:p>
        </w:tc>
        <w:tc>
          <w:tcPr>
            <w:tcW w:w="379" w:type="pct"/>
            <w:vMerge w:val="restart"/>
            <w:tcBorders>
              <w:top w:val="single" w:color="auto" w:sz="4" w:space="0"/>
              <w:left w:val="single" w:color="auto" w:sz="4" w:space="0"/>
              <w:right w:val="single" w:color="auto" w:sz="4" w:space="0"/>
            </w:tcBorders>
            <w:noWrap w:val="0"/>
            <w:vAlign w:val="center"/>
          </w:tcPr>
          <w:p w14:paraId="14D4B2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799DFA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2D3B046A">
        <w:tblPrEx>
          <w:tblCellMar>
            <w:top w:w="0" w:type="dxa"/>
            <w:left w:w="108" w:type="dxa"/>
            <w:bottom w:w="0" w:type="dxa"/>
            <w:right w:w="108" w:type="dxa"/>
          </w:tblCellMar>
        </w:tblPrEx>
        <w:trPr>
          <w:trHeight w:val="40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02CD57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29</w:t>
            </w:r>
          </w:p>
        </w:tc>
        <w:tc>
          <w:tcPr>
            <w:tcW w:w="408" w:type="pct"/>
            <w:vMerge w:val="continue"/>
            <w:tcBorders>
              <w:left w:val="single" w:color="auto" w:sz="4" w:space="0"/>
              <w:right w:val="single" w:color="auto" w:sz="4" w:space="0"/>
            </w:tcBorders>
            <w:noWrap w:val="0"/>
            <w:vAlign w:val="center"/>
          </w:tcPr>
          <w:p w14:paraId="38EF29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tcBorders>
              <w:top w:val="single" w:color="auto" w:sz="4" w:space="0"/>
              <w:left w:val="single" w:color="auto" w:sz="4" w:space="0"/>
              <w:bottom w:val="single" w:color="auto" w:sz="4" w:space="0"/>
              <w:right w:val="single" w:color="auto" w:sz="4" w:space="0"/>
            </w:tcBorders>
            <w:noWrap w:val="0"/>
            <w:vAlign w:val="center"/>
          </w:tcPr>
          <w:p w14:paraId="0E2BBD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沟通力</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0B1718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就工作指令中的疑问主动与保卫</w:t>
            </w:r>
            <w:r>
              <w:rPr>
                <w:rFonts w:hint="eastAsia" w:ascii="微软雅黑" w:hAnsi="微软雅黑" w:eastAsia="微软雅黑" w:cs="微软雅黑"/>
                <w:color w:val="auto"/>
                <w:sz w:val="18"/>
                <w:szCs w:val="18"/>
                <w:lang w:val="en-US" w:eastAsia="zh-CN"/>
              </w:rPr>
              <w:t>处</w:t>
            </w:r>
            <w:r>
              <w:rPr>
                <w:rFonts w:hint="eastAsia" w:ascii="微软雅黑" w:hAnsi="微软雅黑" w:eastAsia="微软雅黑" w:cs="微软雅黑"/>
                <w:color w:val="auto"/>
                <w:sz w:val="18"/>
                <w:szCs w:val="18"/>
              </w:rPr>
              <w:t>进行协调沟通，有效防止误会和失误 。</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2D80FA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right w:val="single" w:color="auto" w:sz="4" w:space="0"/>
            </w:tcBorders>
            <w:noWrap w:val="0"/>
            <w:vAlign w:val="center"/>
          </w:tcPr>
          <w:p w14:paraId="2AD5A0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394650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34ECE779">
        <w:tblPrEx>
          <w:tblCellMar>
            <w:top w:w="0" w:type="dxa"/>
            <w:left w:w="108" w:type="dxa"/>
            <w:bottom w:w="0" w:type="dxa"/>
            <w:right w:w="108" w:type="dxa"/>
          </w:tblCellMar>
        </w:tblPrEx>
        <w:trPr>
          <w:trHeight w:val="40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3B1053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30</w:t>
            </w:r>
          </w:p>
        </w:tc>
        <w:tc>
          <w:tcPr>
            <w:tcW w:w="408" w:type="pct"/>
            <w:vMerge w:val="continue"/>
            <w:tcBorders>
              <w:left w:val="single" w:color="auto" w:sz="4" w:space="0"/>
              <w:bottom w:val="single" w:color="auto" w:sz="4" w:space="0"/>
              <w:right w:val="single" w:color="auto" w:sz="4" w:space="0"/>
            </w:tcBorders>
            <w:noWrap w:val="0"/>
            <w:vAlign w:val="center"/>
          </w:tcPr>
          <w:p w14:paraId="02157A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694" w:type="pct"/>
            <w:tcBorders>
              <w:top w:val="single" w:color="auto" w:sz="4" w:space="0"/>
              <w:left w:val="single" w:color="auto" w:sz="4" w:space="0"/>
              <w:bottom w:val="single" w:color="auto" w:sz="4" w:space="0"/>
              <w:right w:val="single" w:color="auto" w:sz="4" w:space="0"/>
            </w:tcBorders>
            <w:noWrap w:val="0"/>
            <w:vAlign w:val="center"/>
          </w:tcPr>
          <w:p w14:paraId="459E1E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主动性</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05D48C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工作中积极主动，发挥主观能动性，高效高质的完成各项工作任务；对工作中发现的问题与保卫</w:t>
            </w:r>
            <w:r>
              <w:rPr>
                <w:rFonts w:hint="eastAsia" w:ascii="微软雅黑" w:hAnsi="微软雅黑" w:eastAsia="微软雅黑" w:cs="微软雅黑"/>
                <w:color w:val="auto"/>
                <w:sz w:val="18"/>
                <w:szCs w:val="18"/>
                <w:lang w:val="en-US" w:eastAsia="zh-CN"/>
              </w:rPr>
              <w:t>处</w:t>
            </w:r>
            <w:r>
              <w:rPr>
                <w:rFonts w:hint="eastAsia" w:ascii="微软雅黑" w:hAnsi="微软雅黑" w:eastAsia="微软雅黑" w:cs="微软雅黑"/>
                <w:color w:val="auto"/>
                <w:sz w:val="18"/>
                <w:szCs w:val="18"/>
              </w:rPr>
              <w:t>进行沟通并及时反馈。</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09300E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1分/次</w:t>
            </w:r>
          </w:p>
        </w:tc>
        <w:tc>
          <w:tcPr>
            <w:tcW w:w="379" w:type="pct"/>
            <w:vMerge w:val="continue"/>
            <w:tcBorders>
              <w:left w:val="single" w:color="auto" w:sz="4" w:space="0"/>
              <w:bottom w:val="single" w:color="auto" w:sz="4" w:space="0"/>
              <w:right w:val="single" w:color="auto" w:sz="4" w:space="0"/>
            </w:tcBorders>
            <w:noWrap w:val="0"/>
            <w:vAlign w:val="center"/>
          </w:tcPr>
          <w:p w14:paraId="0CF88B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66F646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690EE662">
        <w:tblPrEx>
          <w:tblCellMar>
            <w:top w:w="0" w:type="dxa"/>
            <w:left w:w="108" w:type="dxa"/>
            <w:bottom w:w="0" w:type="dxa"/>
            <w:right w:w="108" w:type="dxa"/>
          </w:tblCellMar>
        </w:tblPrEx>
        <w:trPr>
          <w:trHeight w:val="742"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4613C8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总分</w:t>
            </w:r>
          </w:p>
        </w:tc>
        <w:tc>
          <w:tcPr>
            <w:tcW w:w="408" w:type="pct"/>
            <w:tcBorders>
              <w:top w:val="single" w:color="auto" w:sz="4" w:space="0"/>
              <w:left w:val="single" w:color="auto" w:sz="4" w:space="0"/>
              <w:bottom w:val="single" w:color="auto" w:sz="4" w:space="0"/>
              <w:right w:val="single" w:color="auto" w:sz="4" w:space="0"/>
            </w:tcBorders>
            <w:noWrap w:val="0"/>
            <w:vAlign w:val="center"/>
          </w:tcPr>
          <w:p w14:paraId="08A712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100</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0F41F4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2182" w:type="pct"/>
            <w:tcBorders>
              <w:top w:val="single" w:color="auto" w:sz="4" w:space="0"/>
              <w:left w:val="single" w:color="auto" w:sz="4" w:space="0"/>
              <w:bottom w:val="single" w:color="auto" w:sz="4" w:space="0"/>
              <w:right w:val="single" w:color="auto" w:sz="4" w:space="0"/>
            </w:tcBorders>
            <w:noWrap w:val="0"/>
            <w:vAlign w:val="center"/>
          </w:tcPr>
          <w:p w14:paraId="1F843E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每项内容最多扣5分</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1E89A7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379" w:type="pct"/>
            <w:tcBorders>
              <w:top w:val="single" w:color="auto" w:sz="4" w:space="0"/>
              <w:left w:val="single" w:color="auto" w:sz="4" w:space="0"/>
              <w:bottom w:val="single" w:color="auto" w:sz="4" w:space="0"/>
              <w:right w:val="single" w:color="auto" w:sz="4" w:space="0"/>
            </w:tcBorders>
            <w:noWrap w:val="0"/>
            <w:vAlign w:val="center"/>
          </w:tcPr>
          <w:p w14:paraId="1CFD1A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3ADB8E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r w14:paraId="543DBF26">
        <w:tblPrEx>
          <w:tblCellMar>
            <w:top w:w="0" w:type="dxa"/>
            <w:left w:w="108" w:type="dxa"/>
            <w:bottom w:w="0" w:type="dxa"/>
            <w:right w:w="108" w:type="dxa"/>
          </w:tblCellMar>
        </w:tblPrEx>
        <w:trPr>
          <w:trHeight w:val="1555" w:hRule="atLeast"/>
        </w:trPr>
        <w:tc>
          <w:tcPr>
            <w:tcW w:w="346" w:type="pct"/>
            <w:tcBorders>
              <w:top w:val="single" w:color="auto" w:sz="6" w:space="0"/>
              <w:left w:val="single" w:color="auto" w:sz="6" w:space="0"/>
              <w:bottom w:val="single" w:color="auto" w:sz="6" w:space="0"/>
              <w:right w:val="single" w:color="auto" w:sz="4" w:space="0"/>
            </w:tcBorders>
            <w:noWrap w:val="0"/>
            <w:vAlign w:val="center"/>
          </w:tcPr>
          <w:p w14:paraId="34C1EE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日期</w:t>
            </w:r>
          </w:p>
        </w:tc>
        <w:tc>
          <w:tcPr>
            <w:tcW w:w="408" w:type="pct"/>
            <w:tcBorders>
              <w:top w:val="single" w:color="auto" w:sz="4" w:space="0"/>
              <w:left w:val="single" w:color="auto" w:sz="4" w:space="0"/>
              <w:bottom w:val="single" w:color="auto" w:sz="4" w:space="0"/>
              <w:right w:val="single" w:color="auto" w:sz="4" w:space="0"/>
            </w:tcBorders>
            <w:noWrap w:val="0"/>
            <w:vAlign w:val="center"/>
          </w:tcPr>
          <w:p w14:paraId="3DEF57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年月  日</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40D5F6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2182" w:type="pct"/>
            <w:tcBorders>
              <w:top w:val="single" w:color="auto" w:sz="4" w:space="0"/>
              <w:left w:val="single" w:color="auto" w:sz="4" w:space="0"/>
              <w:bottom w:val="single" w:color="auto" w:sz="4" w:space="0"/>
              <w:right w:val="single" w:color="auto" w:sz="4" w:space="0"/>
            </w:tcBorders>
            <w:noWrap w:val="0"/>
            <w:vAlign w:val="center"/>
          </w:tcPr>
          <w:p w14:paraId="1754E1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考核意见：</w:t>
            </w:r>
          </w:p>
          <w:p w14:paraId="135149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考核人：</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3451AA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保卫</w:t>
            </w:r>
            <w:r>
              <w:rPr>
                <w:rFonts w:hint="eastAsia" w:ascii="微软雅黑" w:hAnsi="微软雅黑" w:eastAsia="微软雅黑" w:cs="微软雅黑"/>
                <w:color w:val="auto"/>
                <w:sz w:val="18"/>
                <w:szCs w:val="18"/>
                <w:lang w:val="en-US" w:eastAsia="zh-CN"/>
              </w:rPr>
              <w:t>处</w:t>
            </w:r>
            <w:r>
              <w:rPr>
                <w:rFonts w:hint="eastAsia" w:ascii="微软雅黑" w:hAnsi="微软雅黑" w:eastAsia="微软雅黑" w:cs="微软雅黑"/>
                <w:color w:val="auto"/>
                <w:sz w:val="18"/>
                <w:szCs w:val="18"/>
              </w:rPr>
              <w:t>负责人签字：</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1D8E38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46CC15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18"/>
                <w:szCs w:val="18"/>
              </w:rPr>
            </w:pPr>
          </w:p>
        </w:tc>
      </w:tr>
    </w:tbl>
    <w:p w14:paraId="608D84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left"/>
        <w:textAlignment w:val="auto"/>
        <w:rPr>
          <w:rFonts w:hint="eastAsia" w:ascii="微软雅黑" w:hAnsi="微软雅黑" w:eastAsia="微软雅黑" w:cs="微软雅黑"/>
          <w:color w:val="FF0000"/>
          <w:sz w:val="21"/>
          <w:szCs w:val="21"/>
          <w:lang w:val="en-US" w:eastAsia="zh-CN"/>
        </w:rPr>
      </w:pPr>
    </w:p>
    <w:p w14:paraId="2FF82536">
      <w:pPr>
        <w:pStyle w:val="12"/>
        <w:rPr>
          <w:rFonts w:hint="default" w:ascii="微软雅黑" w:hAnsi="微软雅黑" w:eastAsia="微软雅黑" w:cs="微软雅黑"/>
          <w:b w:val="0"/>
          <w:bCs w:val="0"/>
          <w:color w:val="0070C0"/>
          <w:sz w:val="21"/>
          <w:szCs w:val="21"/>
          <w:vertAlign w:val="baseline"/>
          <w:lang w:val="en-US" w:eastAsia="zh-CN"/>
        </w:rPr>
      </w:pPr>
    </w:p>
    <w:p w14:paraId="48B24221">
      <w:pPr>
        <w:rPr>
          <w:rFonts w:hint="default" w:ascii="微软雅黑" w:hAnsi="微软雅黑" w:eastAsia="微软雅黑" w:cs="微软雅黑"/>
          <w:b w:val="0"/>
          <w:bCs w:val="0"/>
          <w:color w:val="FF0000"/>
          <w:sz w:val="21"/>
          <w:szCs w:val="21"/>
          <w:vertAlign w:val="baseline"/>
          <w:lang w:val="en-US" w:eastAsia="zh-CN"/>
        </w:rPr>
      </w:pPr>
      <w:r>
        <w:rPr>
          <w:rFonts w:hint="default" w:ascii="微软雅黑" w:hAnsi="微软雅黑" w:eastAsia="微软雅黑" w:cs="微软雅黑"/>
          <w:b w:val="0"/>
          <w:bCs w:val="0"/>
          <w:color w:val="FF0000"/>
          <w:sz w:val="21"/>
          <w:szCs w:val="21"/>
          <w:vertAlign w:val="baseline"/>
          <w:lang w:val="en-US" w:eastAsia="zh-CN"/>
        </w:rPr>
        <w:br w:type="page"/>
      </w:r>
    </w:p>
    <w:p w14:paraId="1C175E8F">
      <w:pPr>
        <w:pStyle w:val="2"/>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评标办法</w:t>
      </w:r>
    </w:p>
    <w:p w14:paraId="2A4632E0">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bookmarkStart w:id="0" w:name="_Toc29038"/>
      <w:r>
        <w:rPr>
          <w:rFonts w:hint="eastAsia" w:ascii="微软雅黑" w:hAnsi="微软雅黑" w:eastAsia="微软雅黑" w:cs="微软雅黑"/>
          <w:b/>
          <w:bCs/>
          <w:lang w:val="en-US" w:eastAsia="zh-CN"/>
        </w:rPr>
        <w:t>初步评审</w:t>
      </w:r>
      <w:bookmarkEnd w:id="0"/>
    </w:p>
    <w:tbl>
      <w:tblPr>
        <w:tblStyle w:val="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14:paraId="59DC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14:paraId="58AA4D92">
            <w:pPr>
              <w:spacing w:line="320" w:lineRule="exact"/>
              <w:jc w:val="center"/>
              <w:rPr>
                <w:rFonts w:ascii="仿宋" w:hAnsi="仿宋" w:eastAsia="仿宋"/>
                <w:b/>
                <w:sz w:val="24"/>
                <w:szCs w:val="24"/>
              </w:rPr>
            </w:pPr>
            <w:r>
              <w:rPr>
                <w:rFonts w:hint="eastAsia" w:ascii="仿宋" w:hAnsi="仿宋" w:eastAsia="仿宋"/>
                <w:b/>
                <w:sz w:val="24"/>
                <w:szCs w:val="24"/>
              </w:rPr>
              <w:t>审查内容</w:t>
            </w:r>
          </w:p>
        </w:tc>
        <w:tc>
          <w:tcPr>
            <w:tcW w:w="6284" w:type="dxa"/>
            <w:tcBorders>
              <w:left w:val="single" w:color="auto" w:sz="4" w:space="0"/>
            </w:tcBorders>
            <w:vAlign w:val="center"/>
          </w:tcPr>
          <w:p w14:paraId="0877B2BD">
            <w:pPr>
              <w:spacing w:line="320" w:lineRule="exact"/>
              <w:jc w:val="center"/>
              <w:rPr>
                <w:rFonts w:ascii="仿宋" w:hAnsi="仿宋" w:eastAsia="仿宋"/>
                <w:b/>
                <w:sz w:val="24"/>
                <w:szCs w:val="24"/>
              </w:rPr>
            </w:pPr>
            <w:r>
              <w:rPr>
                <w:rFonts w:hint="eastAsia" w:ascii="仿宋" w:hAnsi="仿宋" w:eastAsia="仿宋"/>
                <w:b/>
                <w:sz w:val="24"/>
                <w:szCs w:val="24"/>
              </w:rPr>
              <w:t>评审因素</w:t>
            </w:r>
          </w:p>
        </w:tc>
      </w:tr>
      <w:tr w14:paraId="4FE1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14:paraId="208A1883">
            <w:pPr>
              <w:spacing w:line="320" w:lineRule="exact"/>
              <w:rPr>
                <w:rFonts w:ascii="仿宋" w:hAnsi="仿宋" w:eastAsia="仿宋"/>
                <w:b/>
                <w:sz w:val="24"/>
                <w:szCs w:val="24"/>
              </w:rPr>
            </w:pPr>
            <w:r>
              <w:rPr>
                <w:rFonts w:hint="eastAsia" w:ascii="仿宋" w:hAnsi="仿宋" w:eastAsia="仿宋"/>
                <w:b/>
                <w:sz w:val="24"/>
                <w:szCs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14:paraId="7FE76C5F">
            <w:pPr>
              <w:spacing w:line="320" w:lineRule="exact"/>
              <w:rPr>
                <w:rFonts w:ascii="仿宋" w:hAnsi="仿宋" w:eastAsia="仿宋"/>
                <w:sz w:val="24"/>
                <w:szCs w:val="24"/>
              </w:rPr>
            </w:pPr>
            <w:r>
              <w:rPr>
                <w:rFonts w:hint="eastAsia" w:ascii="仿宋" w:hAnsi="仿宋" w:eastAsia="仿宋"/>
                <w:sz w:val="24"/>
                <w:szCs w:val="24"/>
              </w:rPr>
              <w:t>具有独立承担民事责任的能力</w:t>
            </w:r>
          </w:p>
        </w:tc>
        <w:tc>
          <w:tcPr>
            <w:tcW w:w="6284" w:type="dxa"/>
            <w:tcBorders>
              <w:left w:val="single" w:color="auto" w:sz="4" w:space="0"/>
            </w:tcBorders>
            <w:vAlign w:val="center"/>
          </w:tcPr>
          <w:p w14:paraId="1F87E5F6">
            <w:pPr>
              <w:spacing w:line="320" w:lineRule="exact"/>
              <w:rPr>
                <w:rFonts w:ascii="仿宋" w:hAnsi="仿宋" w:eastAsia="仿宋"/>
                <w:sz w:val="24"/>
                <w:szCs w:val="24"/>
              </w:rPr>
            </w:pPr>
            <w:r>
              <w:rPr>
                <w:rFonts w:hint="eastAsia" w:ascii="仿宋" w:hAnsi="仿宋" w:eastAsia="仿宋"/>
                <w:sz w:val="24"/>
                <w:szCs w:val="24"/>
              </w:rPr>
              <w:t>供应商具有有效的营业执照或事业单位法人证书或社会团体法人登记证书或执业许可证或自然人身份证明等证明文件（供应商根据自身情况提供对应的证明材料）</w:t>
            </w:r>
          </w:p>
        </w:tc>
      </w:tr>
      <w:tr w14:paraId="4A0B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20F2DA2E">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0C603346">
            <w:pPr>
              <w:spacing w:line="320" w:lineRule="exact"/>
              <w:rPr>
                <w:rFonts w:ascii="仿宋" w:hAnsi="仿宋" w:eastAsia="仿宋"/>
                <w:sz w:val="24"/>
                <w:szCs w:val="24"/>
              </w:rPr>
            </w:pPr>
            <w:r>
              <w:rPr>
                <w:rFonts w:hint="eastAsia" w:ascii="仿宋" w:hAnsi="仿宋" w:eastAsia="仿宋"/>
                <w:sz w:val="24"/>
                <w:szCs w:val="24"/>
              </w:rPr>
              <w:t>具有良好的商业信誉和健全的财务会计制度</w:t>
            </w:r>
          </w:p>
        </w:tc>
        <w:tc>
          <w:tcPr>
            <w:tcW w:w="6284" w:type="dxa"/>
            <w:tcBorders>
              <w:left w:val="single" w:color="auto" w:sz="4" w:space="0"/>
            </w:tcBorders>
            <w:vAlign w:val="center"/>
          </w:tcPr>
          <w:p w14:paraId="1AFAFCC7">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提供本年度（或上一年度）经第三方审计的财务报告，或银行资信证明。</w:t>
            </w:r>
          </w:p>
        </w:tc>
      </w:tr>
      <w:tr w14:paraId="51A4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33E2E80A">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7EAB6C4F">
            <w:pPr>
              <w:spacing w:line="320" w:lineRule="exact"/>
              <w:rPr>
                <w:rFonts w:ascii="仿宋" w:hAnsi="仿宋" w:eastAsia="仿宋"/>
                <w:sz w:val="24"/>
                <w:szCs w:val="24"/>
              </w:rPr>
            </w:pPr>
            <w:r>
              <w:rPr>
                <w:rFonts w:hint="eastAsia" w:ascii="仿宋" w:hAnsi="仿宋" w:eastAsia="仿宋"/>
                <w:sz w:val="24"/>
                <w:szCs w:val="24"/>
              </w:rPr>
              <w:t>具有履行合同所必需的设备和专业技术能力</w:t>
            </w:r>
          </w:p>
        </w:tc>
        <w:tc>
          <w:tcPr>
            <w:tcW w:w="6284" w:type="dxa"/>
            <w:tcBorders>
              <w:left w:val="single" w:color="auto" w:sz="4" w:space="0"/>
            </w:tcBorders>
            <w:vAlign w:val="center"/>
          </w:tcPr>
          <w:p w14:paraId="74EC99E2">
            <w:pPr>
              <w:spacing w:line="320" w:lineRule="exact"/>
              <w:rPr>
                <w:rFonts w:ascii="仿宋" w:hAnsi="仿宋" w:eastAsia="仿宋"/>
                <w:sz w:val="24"/>
                <w:szCs w:val="24"/>
              </w:rPr>
            </w:pPr>
            <w:r>
              <w:rPr>
                <w:rFonts w:hint="eastAsia" w:ascii="仿宋" w:hAnsi="仿宋" w:eastAsia="仿宋"/>
                <w:sz w:val="24"/>
                <w:szCs w:val="24"/>
              </w:rPr>
              <w:t>(1)提供具备满足本项目的设施设备的证明材料；</w:t>
            </w:r>
          </w:p>
          <w:p w14:paraId="176778D9">
            <w:pPr>
              <w:spacing w:line="320" w:lineRule="exact"/>
              <w:rPr>
                <w:rFonts w:ascii="仿宋" w:hAnsi="仿宋" w:eastAsia="仿宋"/>
                <w:sz w:val="24"/>
                <w:szCs w:val="24"/>
              </w:rPr>
            </w:pPr>
            <w:r>
              <w:rPr>
                <w:rFonts w:hint="eastAsia" w:ascii="仿宋" w:hAnsi="仿宋" w:eastAsia="仿宋"/>
                <w:sz w:val="24"/>
                <w:szCs w:val="24"/>
              </w:rPr>
              <w:t>(2)提供具备满足本项目的技术、服务人员的证明材料；</w:t>
            </w:r>
          </w:p>
          <w:p w14:paraId="3D597E1A">
            <w:pPr>
              <w:spacing w:line="320" w:lineRule="exact"/>
              <w:rPr>
                <w:rFonts w:ascii="仿宋" w:hAnsi="仿宋" w:eastAsia="仿宋"/>
                <w:sz w:val="24"/>
                <w:szCs w:val="24"/>
                <w:highlight w:val="yellow"/>
              </w:rPr>
            </w:pPr>
            <w:r>
              <w:rPr>
                <w:rFonts w:hint="eastAsia" w:ascii="仿宋" w:hAnsi="仿宋" w:eastAsia="仿宋"/>
                <w:sz w:val="24"/>
                <w:szCs w:val="24"/>
              </w:rPr>
              <w:t>(3)供应商认为具备履行合同所必需的设备和专业技术能力的证明材料。（格式自拟）</w:t>
            </w:r>
          </w:p>
        </w:tc>
      </w:tr>
      <w:tr w14:paraId="32A0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5F4F1815">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7603F6EA">
            <w:pPr>
              <w:spacing w:line="320" w:lineRule="exact"/>
              <w:rPr>
                <w:rFonts w:ascii="仿宋" w:hAnsi="仿宋" w:eastAsia="仿宋"/>
                <w:sz w:val="24"/>
                <w:szCs w:val="24"/>
              </w:rPr>
            </w:pPr>
            <w:r>
              <w:rPr>
                <w:rFonts w:hint="eastAsia" w:ascii="仿宋" w:hAnsi="仿宋" w:eastAsia="仿宋"/>
                <w:sz w:val="24"/>
                <w:szCs w:val="24"/>
              </w:rPr>
              <w:t>有依法缴纳税收和社会保障资金的良好记录</w:t>
            </w:r>
          </w:p>
        </w:tc>
        <w:tc>
          <w:tcPr>
            <w:tcW w:w="6284" w:type="dxa"/>
            <w:tcBorders>
              <w:left w:val="single" w:color="auto" w:sz="4" w:space="0"/>
            </w:tcBorders>
            <w:vAlign w:val="center"/>
          </w:tcPr>
          <w:p w14:paraId="36A304C2">
            <w:pPr>
              <w:spacing w:line="320" w:lineRule="exact"/>
              <w:rPr>
                <w:rFonts w:ascii="仿宋" w:hAnsi="仿宋" w:eastAsia="仿宋"/>
                <w:sz w:val="24"/>
                <w:szCs w:val="24"/>
                <w:lang w:val="zh-CN"/>
              </w:rPr>
            </w:pPr>
            <w:r>
              <w:rPr>
                <w:rFonts w:hint="eastAsia" w:ascii="仿宋" w:hAnsi="仿宋" w:eastAsia="仿宋"/>
                <w:sz w:val="24"/>
                <w:szCs w:val="24"/>
              </w:rPr>
              <w:t>(1)提供近一段时间</w:t>
            </w:r>
            <w:r>
              <w:rPr>
                <w:rFonts w:hint="eastAsia" w:ascii="仿宋" w:hAnsi="仿宋" w:eastAsia="仿宋"/>
                <w:sz w:val="24"/>
                <w:szCs w:val="24"/>
                <w:lang w:val="zh-CN"/>
              </w:rPr>
              <w:t>缴纳税收的凭据；</w:t>
            </w:r>
          </w:p>
          <w:p w14:paraId="40A5B5C5">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lang w:val="zh-CN"/>
              </w:rPr>
              <w:t>(2)</w:t>
            </w:r>
            <w:r>
              <w:rPr>
                <w:rFonts w:hint="eastAsia" w:ascii="仿宋" w:hAnsi="仿宋" w:eastAsia="仿宋"/>
                <w:sz w:val="24"/>
                <w:szCs w:val="24"/>
              </w:rPr>
              <w:t>提供近一段时间</w:t>
            </w:r>
            <w:r>
              <w:rPr>
                <w:rFonts w:hint="eastAsia" w:ascii="仿宋" w:hAnsi="仿宋" w:eastAsia="仿宋"/>
                <w:sz w:val="24"/>
                <w:szCs w:val="24"/>
                <w:lang w:val="zh-CN"/>
              </w:rPr>
              <w:t>缴纳社会保险的凭据；</w:t>
            </w:r>
          </w:p>
        </w:tc>
      </w:tr>
      <w:tr w14:paraId="0645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3ED83426">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551BD910">
            <w:pPr>
              <w:spacing w:line="320" w:lineRule="exact"/>
              <w:rPr>
                <w:rFonts w:ascii="仿宋" w:hAnsi="仿宋" w:eastAsia="仿宋"/>
                <w:sz w:val="24"/>
                <w:szCs w:val="24"/>
              </w:rPr>
            </w:pPr>
            <w:r>
              <w:rPr>
                <w:rFonts w:hint="eastAsia" w:ascii="仿宋" w:hAnsi="仿宋" w:eastAsia="仿宋"/>
                <w:sz w:val="24"/>
                <w:szCs w:val="24"/>
              </w:rPr>
              <w:t>参加政府采购活动前三年内，在经营活动中没有重大违法记录</w:t>
            </w:r>
          </w:p>
        </w:tc>
        <w:tc>
          <w:tcPr>
            <w:tcW w:w="6284" w:type="dxa"/>
            <w:tcBorders>
              <w:left w:val="single" w:color="auto" w:sz="4" w:space="0"/>
            </w:tcBorders>
            <w:vAlign w:val="center"/>
          </w:tcPr>
          <w:p w14:paraId="6B196D9C">
            <w:pPr>
              <w:spacing w:line="320" w:lineRule="exact"/>
              <w:rPr>
                <w:rFonts w:ascii="仿宋" w:hAnsi="仿宋" w:eastAsia="微软雅黑"/>
                <w:sz w:val="24"/>
                <w:szCs w:val="24"/>
                <w:highlight w:val="yellow"/>
              </w:rPr>
            </w:pPr>
            <w:r>
              <w:rPr>
                <w:rFonts w:hint="eastAsia" w:ascii="仿宋" w:hAnsi="仿宋" w:eastAsia="仿宋"/>
                <w:sz w:val="24"/>
                <w:szCs w:val="24"/>
              </w:rPr>
              <w:t>提供承诺书，</w:t>
            </w:r>
            <w:r>
              <w:rPr>
                <w:rFonts w:hint="eastAsia" w:ascii="仿宋" w:hAnsi="仿宋" w:eastAsia="仿宋"/>
                <w:sz w:val="24"/>
                <w:szCs w:val="24"/>
                <w:lang w:val="zh-CN"/>
              </w:rPr>
              <w:t>格式详见</w:t>
            </w:r>
            <w:r>
              <w:rPr>
                <w:rFonts w:hint="eastAsia" w:ascii="仿宋" w:hAnsi="仿宋" w:eastAsia="仿宋"/>
                <w:sz w:val="24"/>
                <w:szCs w:val="24"/>
              </w:rPr>
              <w:t>响应文件格式</w:t>
            </w:r>
          </w:p>
        </w:tc>
      </w:tr>
      <w:tr w14:paraId="7477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2E1D0A09">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06858233">
            <w:pPr>
              <w:spacing w:line="320" w:lineRule="exact"/>
              <w:rPr>
                <w:rFonts w:ascii="仿宋" w:hAnsi="仿宋" w:eastAsia="仿宋"/>
                <w:sz w:val="24"/>
                <w:szCs w:val="24"/>
              </w:rPr>
            </w:pPr>
            <w:r>
              <w:rPr>
                <w:rFonts w:hint="eastAsia" w:ascii="仿宋" w:hAnsi="仿宋" w:eastAsia="仿宋"/>
                <w:sz w:val="24"/>
                <w:szCs w:val="24"/>
              </w:rPr>
              <w:t>法律、行政法规规定的其他条件</w:t>
            </w:r>
          </w:p>
        </w:tc>
        <w:tc>
          <w:tcPr>
            <w:tcW w:w="6284" w:type="dxa"/>
            <w:tcBorders>
              <w:left w:val="single" w:color="auto" w:sz="4" w:space="0"/>
            </w:tcBorders>
            <w:vAlign w:val="center"/>
          </w:tcPr>
          <w:p w14:paraId="443FCD16">
            <w:pPr>
              <w:spacing w:line="320" w:lineRule="exact"/>
              <w:rPr>
                <w:rFonts w:ascii="仿宋" w:hAnsi="仿宋" w:eastAsia="仿宋"/>
                <w:sz w:val="24"/>
                <w:szCs w:val="24"/>
                <w:highlight w:val="yellow"/>
              </w:rPr>
            </w:pPr>
            <w:r>
              <w:rPr>
                <w:rFonts w:hint="eastAsia" w:ascii="仿宋" w:hAnsi="仿宋" w:eastAsia="仿宋"/>
                <w:sz w:val="24"/>
                <w:szCs w:val="24"/>
                <w:lang w:val="zh-CN"/>
              </w:rPr>
              <w:t>（</w:t>
            </w:r>
            <w:r>
              <w:rPr>
                <w:rFonts w:hint="eastAsia" w:ascii="仿宋" w:hAnsi="仿宋" w:eastAsia="仿宋"/>
                <w:sz w:val="24"/>
                <w:szCs w:val="24"/>
              </w:rPr>
              <w:t>供应商主动自行提供）</w:t>
            </w:r>
            <w:r>
              <w:rPr>
                <w:rFonts w:hint="eastAsia" w:ascii="仿宋" w:hAnsi="仿宋" w:eastAsia="仿宋"/>
                <w:sz w:val="24"/>
                <w:szCs w:val="24"/>
                <w:lang w:val="zh-CN"/>
              </w:rPr>
              <w:t>国家对生产和销售相关产品或提供相关服务有专门法律、行政法规规定的，国家法律法规对市场准入有要求的还应提交相关资格证明文件。</w:t>
            </w:r>
          </w:p>
        </w:tc>
      </w:tr>
      <w:tr w14:paraId="73FC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4D151D0F">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5E5313D4">
            <w:pPr>
              <w:spacing w:line="320" w:lineRule="exact"/>
              <w:rPr>
                <w:rFonts w:ascii="仿宋" w:hAnsi="仿宋" w:eastAsia="仿宋"/>
                <w:sz w:val="24"/>
                <w:szCs w:val="24"/>
              </w:rPr>
            </w:pPr>
            <w:r>
              <w:rPr>
                <w:rFonts w:hint="eastAsia" w:ascii="仿宋" w:hAnsi="仿宋" w:eastAsia="仿宋"/>
                <w:sz w:val="24"/>
                <w:szCs w:val="24"/>
              </w:rPr>
              <w:t>禁止参加情况</w:t>
            </w:r>
          </w:p>
        </w:tc>
        <w:tc>
          <w:tcPr>
            <w:tcW w:w="6284" w:type="dxa"/>
            <w:tcBorders>
              <w:left w:val="single" w:color="auto" w:sz="4" w:space="0"/>
            </w:tcBorders>
            <w:vAlign w:val="center"/>
          </w:tcPr>
          <w:p w14:paraId="69692588">
            <w:pPr>
              <w:spacing w:line="320" w:lineRule="exact"/>
              <w:rPr>
                <w:rFonts w:ascii="仿宋" w:hAnsi="仿宋" w:eastAsia="仿宋"/>
                <w:sz w:val="24"/>
                <w:szCs w:val="24"/>
              </w:rPr>
            </w:pPr>
            <w:r>
              <w:rPr>
                <w:rFonts w:hint="eastAsia" w:ascii="仿宋" w:hAnsi="仿宋" w:eastAsia="仿宋"/>
                <w:sz w:val="24"/>
                <w:szCs w:val="24"/>
              </w:rPr>
              <w:t>(1)单位负责人为同一人或者存在直接控股、管理关系的不同投标人，不得参加本项目同一合同项下的政府采购活动。</w:t>
            </w:r>
          </w:p>
          <w:p w14:paraId="29424B45">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(2)为本采购项目提供整体设计、规范编制或者项目管理、监理、检测等服务的，不得再参加本项目的其他招标采购活动。（提供承诺，见响应文件格式）</w:t>
            </w:r>
          </w:p>
        </w:tc>
      </w:tr>
      <w:tr w14:paraId="2277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286D2BBD">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1D5B4577">
            <w:pPr>
              <w:spacing w:line="320" w:lineRule="exact"/>
              <w:rPr>
                <w:rFonts w:ascii="仿宋" w:hAnsi="仿宋" w:eastAsia="仿宋"/>
                <w:sz w:val="24"/>
                <w:szCs w:val="24"/>
              </w:rPr>
            </w:pPr>
            <w:r>
              <w:rPr>
                <w:rFonts w:hint="eastAsia" w:ascii="仿宋" w:hAnsi="仿宋" w:eastAsia="仿宋"/>
                <w:sz w:val="24"/>
                <w:szCs w:val="24"/>
              </w:rPr>
              <w:t>主体信用记录</w:t>
            </w:r>
          </w:p>
        </w:tc>
        <w:tc>
          <w:tcPr>
            <w:tcW w:w="6284" w:type="dxa"/>
            <w:tcBorders>
              <w:left w:val="single" w:color="auto" w:sz="4" w:space="0"/>
            </w:tcBorders>
            <w:vAlign w:val="center"/>
          </w:tcPr>
          <w:p w14:paraId="2A2E98BD">
            <w:pPr>
              <w:spacing w:line="320" w:lineRule="exact"/>
              <w:rPr>
                <w:rFonts w:ascii="仿宋" w:hAnsi="仿宋" w:eastAsia="仿宋"/>
                <w:sz w:val="24"/>
                <w:szCs w:val="24"/>
              </w:rPr>
            </w:pPr>
            <w:r>
              <w:rPr>
                <w:rFonts w:hint="eastAsia" w:ascii="仿宋" w:hAnsi="仿宋" w:eastAsia="仿宋"/>
                <w:sz w:val="24"/>
                <w:szCs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14:paraId="29C6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51790F2D">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18C97E83">
            <w:pPr>
              <w:spacing w:line="320" w:lineRule="exact"/>
              <w:jc w:val="left"/>
              <w:rPr>
                <w:rFonts w:ascii="仿宋" w:hAnsi="仿宋" w:eastAsia="仿宋"/>
                <w:sz w:val="24"/>
                <w:szCs w:val="24"/>
                <w:highlight w:val="green"/>
              </w:rPr>
            </w:pPr>
            <w:r>
              <w:rPr>
                <w:rFonts w:hint="eastAsia" w:ascii="仿宋" w:hAnsi="仿宋" w:eastAsia="仿宋"/>
                <w:sz w:val="24"/>
                <w:szCs w:val="24"/>
              </w:rPr>
              <w:t>特定资格条件</w:t>
            </w:r>
          </w:p>
        </w:tc>
        <w:tc>
          <w:tcPr>
            <w:tcW w:w="6284" w:type="dxa"/>
            <w:tcBorders>
              <w:left w:val="single" w:color="auto" w:sz="4" w:space="0"/>
            </w:tcBorders>
            <w:vAlign w:val="center"/>
          </w:tcPr>
          <w:p w14:paraId="3C6C2997">
            <w:pPr>
              <w:spacing w:line="320" w:lineRule="exact"/>
              <w:jc w:val="left"/>
              <w:rPr>
                <w:rFonts w:ascii="仿宋" w:hAnsi="仿宋" w:eastAsia="仿宋"/>
                <w:sz w:val="24"/>
                <w:szCs w:val="24"/>
                <w:highlight w:val="green"/>
              </w:rPr>
            </w:pPr>
            <w:r>
              <w:rPr>
                <w:rFonts w:hint="eastAsia" w:ascii="仿宋" w:hAnsi="仿宋" w:eastAsia="仿宋"/>
                <w:color w:val="FF0000"/>
                <w:sz w:val="24"/>
                <w:szCs w:val="24"/>
              </w:rPr>
              <w:t>符合本文件第一章第二款第（五）条本项目特定资格要求</w:t>
            </w:r>
          </w:p>
        </w:tc>
      </w:tr>
      <w:tr w14:paraId="497D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1C29DA4B">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7EC21A6C">
            <w:pPr>
              <w:spacing w:line="320" w:lineRule="exact"/>
              <w:rPr>
                <w:rFonts w:ascii="仿宋" w:hAnsi="仿宋" w:eastAsia="仿宋"/>
                <w:sz w:val="24"/>
                <w:szCs w:val="24"/>
              </w:rPr>
            </w:pPr>
            <w:r>
              <w:rPr>
                <w:rFonts w:hint="eastAsia" w:ascii="仿宋" w:hAnsi="仿宋" w:eastAsia="仿宋"/>
                <w:sz w:val="24"/>
                <w:szCs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14:paraId="15A67BCA">
            <w:pPr>
              <w:spacing w:line="320" w:lineRule="exact"/>
              <w:rPr>
                <w:rFonts w:ascii="仿宋" w:hAnsi="仿宋" w:eastAsia="仿宋"/>
                <w:sz w:val="24"/>
                <w:szCs w:val="24"/>
              </w:rPr>
            </w:pPr>
            <w:r>
              <w:rPr>
                <w:rFonts w:hint="eastAsia" w:ascii="仿宋" w:hAnsi="仿宋" w:eastAsia="仿宋" w:cs="微软雅黑"/>
                <w:kern w:val="0"/>
                <w:sz w:val="24"/>
                <w:szCs w:val="24"/>
              </w:rPr>
              <w:t>有法定代表人或其委托代理人签字并加盖单位公章</w:t>
            </w:r>
          </w:p>
        </w:tc>
      </w:tr>
      <w:tr w14:paraId="143B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4A4092DB">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6A53704E">
            <w:pPr>
              <w:spacing w:line="320" w:lineRule="exact"/>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身份证明</w:t>
            </w:r>
            <w:r>
              <w:rPr>
                <w:rFonts w:hint="eastAsia" w:ascii="仿宋" w:hAnsi="仿宋" w:eastAsia="仿宋"/>
                <w:sz w:val="24"/>
                <w:szCs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14:paraId="5B4BE0CC">
            <w:pPr>
              <w:spacing w:line="320" w:lineRule="exact"/>
              <w:rPr>
                <w:rFonts w:ascii="仿宋" w:hAnsi="仿宋" w:eastAsia="仿宋"/>
                <w:sz w:val="24"/>
                <w:szCs w:val="24"/>
              </w:rPr>
            </w:pPr>
            <w:r>
              <w:rPr>
                <w:rFonts w:hint="eastAsia" w:ascii="仿宋" w:hAnsi="仿宋" w:eastAsia="仿宋"/>
                <w:sz w:val="24"/>
                <w:szCs w:val="24"/>
              </w:rPr>
              <w:t>具有法定代表人或其他组织或自然人等资格证明或法定代表人授权委托书</w:t>
            </w:r>
          </w:p>
        </w:tc>
      </w:tr>
      <w:tr w14:paraId="3A8E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7C995C35">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7206EA78">
            <w:pPr>
              <w:spacing w:line="320" w:lineRule="exact"/>
              <w:rPr>
                <w:rFonts w:ascii="仿宋" w:hAnsi="仿宋" w:eastAsia="仿宋"/>
                <w:sz w:val="24"/>
                <w:szCs w:val="24"/>
              </w:rPr>
            </w:pPr>
            <w:r>
              <w:rPr>
                <w:rFonts w:hint="eastAsia" w:ascii="仿宋" w:hAnsi="仿宋" w:eastAsia="仿宋"/>
                <w:sz w:val="24"/>
                <w:szCs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14:paraId="570AED81">
            <w:pPr>
              <w:spacing w:line="320" w:lineRule="exact"/>
              <w:rPr>
                <w:rFonts w:ascii="仿宋" w:hAnsi="仿宋" w:eastAsia="仿宋"/>
                <w:sz w:val="24"/>
                <w:szCs w:val="24"/>
              </w:rPr>
            </w:pPr>
            <w:r>
              <w:rPr>
                <w:rFonts w:hint="eastAsia" w:ascii="仿宋" w:hAnsi="仿宋" w:eastAsia="仿宋" w:cs="微软雅黑"/>
                <w:kern w:val="0"/>
                <w:sz w:val="24"/>
                <w:szCs w:val="24"/>
              </w:rPr>
              <w:t>每一种采购内容只有一个报价</w:t>
            </w:r>
            <w:r>
              <w:rPr>
                <w:rFonts w:hint="eastAsia" w:ascii="仿宋" w:hAnsi="仿宋" w:eastAsia="仿宋"/>
                <w:sz w:val="24"/>
                <w:szCs w:val="24"/>
              </w:rPr>
              <w:t>；</w:t>
            </w:r>
            <w:r>
              <w:rPr>
                <w:rFonts w:hint="eastAsia" w:ascii="仿宋" w:hAnsi="仿宋" w:eastAsia="仿宋" w:cs="微软雅黑"/>
                <w:kern w:val="0"/>
                <w:sz w:val="24"/>
                <w:szCs w:val="24"/>
              </w:rPr>
              <w:t>是否按照采购文件的报价要求进行报价，投标报价合理；</w:t>
            </w:r>
          </w:p>
        </w:tc>
      </w:tr>
      <w:tr w14:paraId="119D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6C788AEC">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0CD2B125">
            <w:pPr>
              <w:spacing w:line="320" w:lineRule="exact"/>
              <w:jc w:val="left"/>
              <w:rPr>
                <w:rFonts w:ascii="仿宋" w:hAnsi="仿宋" w:eastAsia="仿宋"/>
                <w:sz w:val="24"/>
                <w:szCs w:val="24"/>
              </w:rPr>
            </w:pPr>
            <w:r>
              <w:rPr>
                <w:rFonts w:hint="eastAsia" w:ascii="仿宋" w:hAnsi="仿宋" w:eastAsia="仿宋"/>
                <w:sz w:val="24"/>
                <w:szCs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14:paraId="5BC50D5A">
            <w:pPr>
              <w:spacing w:line="320" w:lineRule="exact"/>
              <w:jc w:val="left"/>
              <w:rPr>
                <w:rFonts w:ascii="仿宋" w:hAnsi="仿宋" w:eastAsia="仿宋"/>
                <w:sz w:val="24"/>
                <w:szCs w:val="24"/>
              </w:rPr>
            </w:pPr>
            <w:r>
              <w:rPr>
                <w:rFonts w:hint="eastAsia" w:ascii="仿宋" w:hAnsi="仿宋" w:eastAsia="仿宋" w:cs="微软雅黑"/>
                <w:b/>
                <w:bCs/>
                <w:kern w:val="0"/>
                <w:sz w:val="24"/>
                <w:szCs w:val="24"/>
              </w:rPr>
              <w:t>*</w:t>
            </w:r>
            <w:r>
              <w:rPr>
                <w:rFonts w:hint="eastAsia" w:ascii="仿宋" w:hAnsi="仿宋" w:eastAsia="仿宋" w:cs="微软雅黑"/>
                <w:kern w:val="0"/>
                <w:sz w:val="24"/>
                <w:szCs w:val="24"/>
              </w:rPr>
              <w:t>号条款（如有）是否符合采购文件要求；是否实质性响应采购文件；</w:t>
            </w:r>
          </w:p>
        </w:tc>
      </w:tr>
      <w:tr w14:paraId="6837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58ED7ED9">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596AC265">
            <w:pPr>
              <w:spacing w:line="320" w:lineRule="exact"/>
              <w:jc w:val="left"/>
              <w:rPr>
                <w:rFonts w:ascii="仿宋" w:hAnsi="仿宋" w:eastAsia="仿宋"/>
                <w:sz w:val="24"/>
                <w:szCs w:val="24"/>
              </w:rPr>
            </w:pPr>
            <w:r>
              <w:rPr>
                <w:rFonts w:hint="eastAsia" w:ascii="仿宋" w:hAnsi="仿宋" w:eastAsia="仿宋"/>
                <w:sz w:val="24"/>
                <w:szCs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14:paraId="718F03C8">
            <w:pPr>
              <w:spacing w:line="320" w:lineRule="exact"/>
              <w:jc w:val="left"/>
              <w:rPr>
                <w:rFonts w:ascii="仿宋" w:hAnsi="仿宋" w:eastAsia="仿宋"/>
                <w:sz w:val="24"/>
                <w:szCs w:val="24"/>
              </w:rPr>
            </w:pPr>
            <w:r>
              <w:rPr>
                <w:rFonts w:hint="eastAsia" w:ascii="仿宋" w:hAnsi="仿宋" w:eastAsia="仿宋"/>
                <w:sz w:val="24"/>
                <w:szCs w:val="24"/>
              </w:rPr>
              <w:t>符合法律、法规和采购文件中规定的其他实质性内容的</w:t>
            </w:r>
          </w:p>
        </w:tc>
      </w:tr>
    </w:tbl>
    <w:p w14:paraId="68546899">
      <w:pPr>
        <w:rPr>
          <w:rFonts w:hint="default"/>
          <w:lang w:val="en-US" w:eastAsia="zh-CN"/>
        </w:rPr>
      </w:pPr>
      <w:r>
        <w:rPr>
          <w:rFonts w:hint="default"/>
          <w:lang w:val="en-US" w:eastAsia="zh-CN"/>
        </w:rPr>
        <w:br w:type="page"/>
      </w:r>
    </w:p>
    <w:p w14:paraId="6C3FC58E">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color w:val="0070C0"/>
          <w:lang w:val="en-US" w:eastAsia="zh-CN"/>
        </w:rPr>
      </w:pPr>
      <w:r>
        <w:rPr>
          <w:rFonts w:hint="eastAsia" w:ascii="微软雅黑" w:hAnsi="微软雅黑" w:eastAsia="微软雅黑" w:cs="微软雅黑"/>
          <w:b/>
          <w:bCs/>
          <w:color w:val="0070C0"/>
          <w:lang w:val="en-US" w:eastAsia="zh-CN"/>
        </w:rPr>
        <w:t>详细评分办法（详细评分表）</w:t>
      </w:r>
    </w:p>
    <w:tbl>
      <w:tblPr>
        <w:tblStyle w:val="8"/>
        <w:tblW w:w="9266" w:type="dxa"/>
        <w:jc w:val="center"/>
        <w:tblLayout w:type="fixed"/>
        <w:tblCellMar>
          <w:top w:w="0" w:type="dxa"/>
          <w:left w:w="108" w:type="dxa"/>
          <w:bottom w:w="0" w:type="dxa"/>
          <w:right w:w="108" w:type="dxa"/>
        </w:tblCellMar>
      </w:tblPr>
      <w:tblGrid>
        <w:gridCol w:w="470"/>
        <w:gridCol w:w="645"/>
        <w:gridCol w:w="1237"/>
        <w:gridCol w:w="709"/>
        <w:gridCol w:w="6205"/>
      </w:tblGrid>
      <w:tr w14:paraId="08376CE9">
        <w:tblPrEx>
          <w:tblCellMar>
            <w:top w:w="0" w:type="dxa"/>
            <w:left w:w="108" w:type="dxa"/>
            <w:bottom w:w="0" w:type="dxa"/>
            <w:right w:w="108" w:type="dxa"/>
          </w:tblCellMar>
        </w:tblPrEx>
        <w:trPr>
          <w:trHeight w:val="270" w:hRule="atLeast"/>
          <w:jc w:val="center"/>
        </w:trPr>
        <w:tc>
          <w:tcPr>
            <w:tcW w:w="470" w:type="dxa"/>
            <w:tcBorders>
              <w:top w:val="single" w:color="auto" w:sz="4" w:space="0"/>
              <w:left w:val="single" w:color="auto" w:sz="4" w:space="0"/>
              <w:bottom w:val="single" w:color="auto" w:sz="4" w:space="0"/>
              <w:right w:val="single" w:color="auto" w:sz="4" w:space="0"/>
            </w:tcBorders>
          </w:tcPr>
          <w:p w14:paraId="2B271275">
            <w:pPr>
              <w:widowControl/>
              <w:spacing w:line="360" w:lineRule="exact"/>
              <w:jc w:val="center"/>
              <w:rPr>
                <w:rFonts w:hint="eastAsia" w:ascii="微软雅黑" w:hAnsi="微软雅黑" w:eastAsia="微软雅黑" w:cs="微软雅黑"/>
                <w:b w:val="0"/>
                <w:bCs/>
                <w:color w:val="0070C0"/>
                <w:kern w:val="0"/>
                <w:sz w:val="21"/>
                <w:szCs w:val="21"/>
              </w:rPr>
            </w:pPr>
            <w:r>
              <w:rPr>
                <w:rFonts w:hint="eastAsia" w:ascii="微软雅黑" w:hAnsi="微软雅黑" w:eastAsia="微软雅黑" w:cs="微软雅黑"/>
                <w:b w:val="0"/>
                <w:bCs/>
                <w:color w:val="0070C0"/>
                <w:kern w:val="0"/>
                <w:sz w:val="21"/>
                <w:szCs w:val="21"/>
              </w:rPr>
              <w:t>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6EBC2BA">
            <w:pPr>
              <w:widowControl/>
              <w:spacing w:line="360" w:lineRule="exact"/>
              <w:jc w:val="center"/>
              <w:rPr>
                <w:rFonts w:hint="eastAsia" w:ascii="微软雅黑" w:hAnsi="微软雅黑" w:eastAsia="微软雅黑" w:cs="微软雅黑"/>
                <w:b w:val="0"/>
                <w:bCs/>
                <w:color w:val="0070C0"/>
                <w:kern w:val="0"/>
                <w:sz w:val="21"/>
                <w:szCs w:val="21"/>
              </w:rPr>
            </w:pPr>
            <w:r>
              <w:rPr>
                <w:rFonts w:hint="eastAsia" w:ascii="微软雅黑" w:hAnsi="微软雅黑" w:eastAsia="微软雅黑" w:cs="微软雅黑"/>
                <w:b w:val="0"/>
                <w:bCs/>
                <w:color w:val="0070C0"/>
                <w:kern w:val="0"/>
                <w:sz w:val="21"/>
                <w:szCs w:val="21"/>
              </w:rPr>
              <w:t>项目</w:t>
            </w:r>
          </w:p>
        </w:tc>
        <w:tc>
          <w:tcPr>
            <w:tcW w:w="1237" w:type="dxa"/>
            <w:tcBorders>
              <w:top w:val="single" w:color="auto" w:sz="4" w:space="0"/>
              <w:left w:val="nil"/>
              <w:bottom w:val="single" w:color="auto" w:sz="4" w:space="0"/>
              <w:right w:val="single" w:color="auto" w:sz="4" w:space="0"/>
            </w:tcBorders>
            <w:shd w:val="clear" w:color="auto" w:fill="auto"/>
            <w:vAlign w:val="center"/>
          </w:tcPr>
          <w:p w14:paraId="3DB12629">
            <w:pPr>
              <w:widowControl/>
              <w:spacing w:line="360" w:lineRule="exact"/>
              <w:jc w:val="center"/>
              <w:rPr>
                <w:rFonts w:hint="eastAsia" w:ascii="微软雅黑" w:hAnsi="微软雅黑" w:eastAsia="微软雅黑" w:cs="微软雅黑"/>
                <w:b w:val="0"/>
                <w:bCs/>
                <w:color w:val="0070C0"/>
                <w:kern w:val="0"/>
                <w:sz w:val="21"/>
                <w:szCs w:val="21"/>
              </w:rPr>
            </w:pPr>
            <w:r>
              <w:rPr>
                <w:rFonts w:hint="eastAsia" w:ascii="微软雅黑" w:hAnsi="微软雅黑" w:eastAsia="微软雅黑" w:cs="微软雅黑"/>
                <w:b w:val="0"/>
                <w:bCs/>
                <w:color w:val="0070C0"/>
                <w:kern w:val="0"/>
                <w:sz w:val="21"/>
                <w:szCs w:val="21"/>
              </w:rPr>
              <w:t>评审因素</w:t>
            </w:r>
          </w:p>
        </w:tc>
        <w:tc>
          <w:tcPr>
            <w:tcW w:w="709" w:type="dxa"/>
            <w:tcBorders>
              <w:top w:val="single" w:color="auto" w:sz="4" w:space="0"/>
              <w:left w:val="nil"/>
              <w:bottom w:val="single" w:color="auto" w:sz="4" w:space="0"/>
              <w:right w:val="single" w:color="auto" w:sz="4" w:space="0"/>
            </w:tcBorders>
            <w:shd w:val="clear" w:color="auto" w:fill="auto"/>
            <w:vAlign w:val="center"/>
          </w:tcPr>
          <w:p w14:paraId="605356FE">
            <w:pPr>
              <w:widowControl/>
              <w:spacing w:line="360" w:lineRule="exact"/>
              <w:jc w:val="center"/>
              <w:rPr>
                <w:rFonts w:hint="eastAsia" w:ascii="微软雅黑" w:hAnsi="微软雅黑" w:eastAsia="微软雅黑" w:cs="微软雅黑"/>
                <w:b w:val="0"/>
                <w:bCs/>
                <w:color w:val="0070C0"/>
                <w:kern w:val="0"/>
                <w:sz w:val="21"/>
                <w:szCs w:val="21"/>
              </w:rPr>
            </w:pPr>
            <w:r>
              <w:rPr>
                <w:rFonts w:hint="eastAsia" w:ascii="微软雅黑" w:hAnsi="微软雅黑" w:eastAsia="微软雅黑" w:cs="微软雅黑"/>
                <w:b w:val="0"/>
                <w:bCs/>
                <w:color w:val="0070C0"/>
                <w:kern w:val="0"/>
                <w:sz w:val="21"/>
                <w:szCs w:val="21"/>
              </w:rPr>
              <w:t>分值</w:t>
            </w:r>
          </w:p>
        </w:tc>
        <w:tc>
          <w:tcPr>
            <w:tcW w:w="6205" w:type="dxa"/>
            <w:tcBorders>
              <w:top w:val="single" w:color="auto" w:sz="4" w:space="0"/>
              <w:left w:val="nil"/>
              <w:bottom w:val="single" w:color="auto" w:sz="4" w:space="0"/>
              <w:right w:val="single" w:color="auto" w:sz="4" w:space="0"/>
            </w:tcBorders>
            <w:shd w:val="clear" w:color="auto" w:fill="auto"/>
            <w:vAlign w:val="center"/>
          </w:tcPr>
          <w:p w14:paraId="653B1EAE">
            <w:pPr>
              <w:widowControl/>
              <w:spacing w:line="360" w:lineRule="exact"/>
              <w:jc w:val="center"/>
              <w:rPr>
                <w:rFonts w:hint="eastAsia" w:ascii="微软雅黑" w:hAnsi="微软雅黑" w:eastAsia="微软雅黑" w:cs="微软雅黑"/>
                <w:b w:val="0"/>
                <w:bCs/>
                <w:color w:val="0070C0"/>
                <w:kern w:val="0"/>
                <w:sz w:val="21"/>
                <w:szCs w:val="21"/>
              </w:rPr>
            </w:pPr>
            <w:r>
              <w:rPr>
                <w:rFonts w:hint="eastAsia" w:ascii="微软雅黑" w:hAnsi="微软雅黑" w:eastAsia="微软雅黑" w:cs="微软雅黑"/>
                <w:b w:val="0"/>
                <w:bCs/>
                <w:color w:val="0070C0"/>
                <w:kern w:val="0"/>
                <w:sz w:val="21"/>
                <w:szCs w:val="21"/>
              </w:rPr>
              <w:t>评审标准</w:t>
            </w:r>
          </w:p>
        </w:tc>
      </w:tr>
      <w:tr w14:paraId="2A8A1DA4">
        <w:tblPrEx>
          <w:tblCellMar>
            <w:top w:w="0" w:type="dxa"/>
            <w:left w:w="108" w:type="dxa"/>
            <w:bottom w:w="0" w:type="dxa"/>
            <w:right w:w="108" w:type="dxa"/>
          </w:tblCellMar>
        </w:tblPrEx>
        <w:trPr>
          <w:trHeight w:val="1843" w:hRule="atLeast"/>
          <w:jc w:val="center"/>
        </w:trPr>
        <w:tc>
          <w:tcPr>
            <w:tcW w:w="470" w:type="dxa"/>
            <w:vMerge w:val="restart"/>
            <w:tcBorders>
              <w:top w:val="nil"/>
              <w:left w:val="single" w:color="auto" w:sz="4" w:space="0"/>
              <w:right w:val="single" w:color="auto" w:sz="4" w:space="0"/>
            </w:tcBorders>
            <w:vAlign w:val="center"/>
          </w:tcPr>
          <w:p w14:paraId="722286BA">
            <w:pPr>
              <w:widowControl/>
              <w:spacing w:line="360" w:lineRule="exact"/>
              <w:jc w:val="center"/>
              <w:rPr>
                <w:rFonts w:hint="eastAsia" w:ascii="微软雅黑" w:hAnsi="微软雅黑" w:eastAsia="微软雅黑" w:cs="微软雅黑"/>
                <w:b w:val="0"/>
                <w:bCs/>
                <w:color w:val="0070C0"/>
                <w:kern w:val="0"/>
                <w:sz w:val="21"/>
                <w:szCs w:val="21"/>
              </w:rPr>
            </w:pPr>
            <w:r>
              <w:rPr>
                <w:rFonts w:hint="eastAsia" w:ascii="微软雅黑" w:hAnsi="微软雅黑" w:eastAsia="微软雅黑" w:cs="微软雅黑"/>
                <w:b w:val="0"/>
                <w:bCs/>
                <w:color w:val="0070C0"/>
                <w:kern w:val="0"/>
                <w:sz w:val="21"/>
                <w:szCs w:val="21"/>
              </w:rPr>
              <w:t>评分办法</w:t>
            </w:r>
          </w:p>
        </w:tc>
        <w:tc>
          <w:tcPr>
            <w:tcW w:w="645" w:type="dxa"/>
            <w:vMerge w:val="restart"/>
            <w:tcBorders>
              <w:top w:val="nil"/>
              <w:left w:val="single" w:color="auto" w:sz="4" w:space="0"/>
              <w:right w:val="single" w:color="auto" w:sz="4" w:space="0"/>
            </w:tcBorders>
            <w:shd w:val="clear" w:color="auto" w:fill="auto"/>
            <w:vAlign w:val="center"/>
          </w:tcPr>
          <w:p w14:paraId="3963397E">
            <w:pPr>
              <w:widowControl/>
              <w:spacing w:line="360" w:lineRule="exact"/>
              <w:jc w:val="center"/>
              <w:rPr>
                <w:rFonts w:hint="eastAsia" w:ascii="微软雅黑" w:hAnsi="微软雅黑" w:eastAsia="微软雅黑" w:cs="微软雅黑"/>
                <w:b w:val="0"/>
                <w:bCs/>
                <w:color w:val="0070C0"/>
                <w:kern w:val="0"/>
                <w:sz w:val="21"/>
                <w:szCs w:val="21"/>
              </w:rPr>
            </w:pPr>
            <w:r>
              <w:rPr>
                <w:rFonts w:hint="eastAsia" w:ascii="微软雅黑" w:hAnsi="微软雅黑" w:eastAsia="微软雅黑" w:cs="微软雅黑"/>
                <w:b w:val="0"/>
                <w:bCs/>
                <w:color w:val="0070C0"/>
                <w:kern w:val="0"/>
                <w:sz w:val="21"/>
                <w:szCs w:val="21"/>
                <w:lang w:eastAsia="zh-CN"/>
              </w:rPr>
              <w:t>技术</w:t>
            </w:r>
            <w:r>
              <w:rPr>
                <w:rFonts w:hint="eastAsia" w:ascii="微软雅黑" w:hAnsi="微软雅黑" w:eastAsia="微软雅黑" w:cs="微软雅黑"/>
                <w:b w:val="0"/>
                <w:bCs/>
                <w:color w:val="0070C0"/>
                <w:kern w:val="0"/>
                <w:sz w:val="21"/>
                <w:szCs w:val="21"/>
              </w:rPr>
              <w:t>评审</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5D27C13">
            <w:pPr>
              <w:widowControl/>
              <w:spacing w:line="360" w:lineRule="exact"/>
              <w:jc w:val="center"/>
              <w:rPr>
                <w:rFonts w:hint="eastAsia" w:ascii="微软雅黑" w:hAnsi="微软雅黑" w:eastAsia="微软雅黑" w:cs="微软雅黑"/>
                <w:b w:val="0"/>
                <w:bCs/>
                <w:color w:val="auto"/>
                <w:spacing w:val="-6"/>
                <w:sz w:val="18"/>
                <w:szCs w:val="18"/>
                <w:highlight w:val="yellow"/>
              </w:rPr>
            </w:pPr>
            <w:r>
              <w:rPr>
                <w:rFonts w:hint="eastAsia" w:ascii="微软雅黑" w:hAnsi="微软雅黑" w:eastAsia="微软雅黑" w:cs="微软雅黑"/>
                <w:color w:val="auto"/>
                <w:sz w:val="18"/>
                <w:szCs w:val="18"/>
              </w:rPr>
              <w:t>管理制度与岗位</w:t>
            </w:r>
            <w:r>
              <w:rPr>
                <w:rFonts w:hint="eastAsia" w:ascii="微软雅黑" w:hAnsi="微软雅黑" w:eastAsia="微软雅黑" w:cs="微软雅黑"/>
                <w:color w:val="auto"/>
                <w:sz w:val="18"/>
                <w:szCs w:val="18"/>
                <w:lang w:val="en-US" w:eastAsia="zh-CN"/>
              </w:rPr>
              <w:t>职责</w:t>
            </w:r>
          </w:p>
        </w:tc>
        <w:tc>
          <w:tcPr>
            <w:tcW w:w="709" w:type="dxa"/>
            <w:tcBorders>
              <w:top w:val="nil"/>
              <w:left w:val="single" w:color="auto" w:sz="4" w:space="0"/>
              <w:bottom w:val="single" w:color="auto" w:sz="4" w:space="0"/>
              <w:right w:val="single" w:color="auto" w:sz="4" w:space="0"/>
            </w:tcBorders>
            <w:shd w:val="clear" w:color="auto" w:fill="auto"/>
            <w:vAlign w:val="center"/>
          </w:tcPr>
          <w:p w14:paraId="08A86A52">
            <w:pPr>
              <w:widowControl/>
              <w:spacing w:line="360" w:lineRule="exact"/>
              <w:jc w:val="center"/>
              <w:rPr>
                <w:rFonts w:hint="default" w:ascii="微软雅黑" w:hAnsi="微软雅黑" w:eastAsia="微软雅黑" w:cs="微软雅黑"/>
                <w:b w:val="0"/>
                <w:bCs/>
                <w:color w:val="auto"/>
                <w:kern w:val="0"/>
                <w:sz w:val="18"/>
                <w:szCs w:val="18"/>
                <w:lang w:val="en-US" w:eastAsia="zh-CN"/>
              </w:rPr>
            </w:pPr>
            <w:r>
              <w:rPr>
                <w:rFonts w:hint="eastAsia" w:ascii="微软雅黑" w:hAnsi="微软雅黑" w:eastAsia="微软雅黑" w:cs="微软雅黑"/>
                <w:b w:val="0"/>
                <w:bCs/>
                <w:color w:val="auto"/>
                <w:kern w:val="0"/>
                <w:sz w:val="18"/>
                <w:szCs w:val="18"/>
                <w:lang w:val="en-US" w:eastAsia="zh-CN"/>
              </w:rPr>
              <w:t>15分</w:t>
            </w:r>
          </w:p>
        </w:tc>
        <w:tc>
          <w:tcPr>
            <w:tcW w:w="6205" w:type="dxa"/>
            <w:tcBorders>
              <w:top w:val="nil"/>
              <w:left w:val="nil"/>
              <w:bottom w:val="single" w:color="auto" w:sz="4" w:space="0"/>
              <w:right w:val="single" w:color="auto" w:sz="4" w:space="0"/>
            </w:tcBorders>
            <w:shd w:val="clear" w:color="auto" w:fill="auto"/>
            <w:vAlign w:val="center"/>
          </w:tcPr>
          <w:p w14:paraId="1C6F1944">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根据投标人提供的管理制度与岗位职责进行综合评审：</w:t>
            </w:r>
          </w:p>
          <w:p w14:paraId="624EF5D7">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1、管理制度与岗位职责完善、合理、可行性强得</w:t>
            </w:r>
            <w:r>
              <w:rPr>
                <w:rFonts w:hint="eastAsia" w:ascii="微软雅黑" w:hAnsi="微软雅黑" w:eastAsia="微软雅黑" w:cs="微软雅黑"/>
                <w:color w:val="auto"/>
                <w:sz w:val="18"/>
                <w:szCs w:val="18"/>
                <w:lang w:val="en-US" w:eastAsia="zh-CN"/>
              </w:rPr>
              <w:t>15</w:t>
            </w:r>
            <w:r>
              <w:rPr>
                <w:rFonts w:hint="eastAsia" w:ascii="微软雅黑" w:hAnsi="微软雅黑" w:eastAsia="微软雅黑" w:cs="微软雅黑"/>
                <w:color w:val="auto"/>
                <w:sz w:val="18"/>
                <w:szCs w:val="18"/>
              </w:rPr>
              <w:t>分</w:t>
            </w:r>
            <w:r>
              <w:rPr>
                <w:rFonts w:hint="eastAsia" w:ascii="微软雅黑" w:hAnsi="微软雅黑" w:eastAsia="微软雅黑" w:cs="微软雅黑"/>
                <w:color w:val="auto"/>
                <w:sz w:val="18"/>
                <w:szCs w:val="18"/>
                <w:lang w:eastAsia="zh-CN"/>
              </w:rPr>
              <w:t>；</w:t>
            </w:r>
          </w:p>
          <w:p w14:paraId="262042B0">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2、管理制度与岗位职责基本完善、较合理，具有一定可行性得</w:t>
            </w:r>
            <w:r>
              <w:rPr>
                <w:rFonts w:hint="eastAsia" w:ascii="微软雅黑" w:hAnsi="微软雅黑" w:eastAsia="微软雅黑" w:cs="微软雅黑"/>
                <w:color w:val="auto"/>
                <w:sz w:val="18"/>
                <w:szCs w:val="18"/>
                <w:lang w:val="en-US" w:eastAsia="zh-CN"/>
              </w:rPr>
              <w:t>12</w:t>
            </w:r>
            <w:r>
              <w:rPr>
                <w:rFonts w:hint="eastAsia" w:ascii="微软雅黑" w:hAnsi="微软雅黑" w:eastAsia="微软雅黑" w:cs="微软雅黑"/>
                <w:color w:val="auto"/>
                <w:sz w:val="18"/>
                <w:szCs w:val="18"/>
              </w:rPr>
              <w:t>分</w:t>
            </w:r>
            <w:r>
              <w:rPr>
                <w:rFonts w:hint="eastAsia" w:ascii="微软雅黑" w:hAnsi="微软雅黑" w:eastAsia="微软雅黑" w:cs="微软雅黑"/>
                <w:color w:val="auto"/>
                <w:sz w:val="18"/>
                <w:szCs w:val="18"/>
                <w:lang w:eastAsia="zh-CN"/>
              </w:rPr>
              <w:t>；</w:t>
            </w:r>
          </w:p>
          <w:p w14:paraId="03A6E938">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3、管理制度与岗位职责不够完善、基本合理、可行性一般得</w:t>
            </w:r>
            <w:r>
              <w:rPr>
                <w:rFonts w:hint="eastAsia" w:ascii="微软雅黑" w:hAnsi="微软雅黑" w:eastAsia="微软雅黑" w:cs="微软雅黑"/>
                <w:color w:val="auto"/>
                <w:sz w:val="18"/>
                <w:szCs w:val="18"/>
                <w:lang w:val="en-US" w:eastAsia="zh-CN"/>
              </w:rPr>
              <w:t>10</w:t>
            </w:r>
            <w:r>
              <w:rPr>
                <w:rFonts w:hint="eastAsia" w:ascii="微软雅黑" w:hAnsi="微软雅黑" w:eastAsia="微软雅黑" w:cs="微软雅黑"/>
                <w:color w:val="auto"/>
                <w:sz w:val="18"/>
                <w:szCs w:val="18"/>
              </w:rPr>
              <w:t>分</w:t>
            </w:r>
            <w:r>
              <w:rPr>
                <w:rFonts w:hint="eastAsia" w:ascii="微软雅黑" w:hAnsi="微软雅黑" w:eastAsia="微软雅黑" w:cs="微软雅黑"/>
                <w:color w:val="auto"/>
                <w:sz w:val="18"/>
                <w:szCs w:val="18"/>
                <w:lang w:eastAsia="zh-CN"/>
              </w:rPr>
              <w:t>；</w:t>
            </w:r>
          </w:p>
          <w:p w14:paraId="328C2C1C">
            <w:pPr>
              <w:spacing w:line="360" w:lineRule="exact"/>
              <w:jc w:val="left"/>
              <w:rPr>
                <w:rFonts w:hint="eastAsia" w:ascii="微软雅黑" w:hAnsi="微软雅黑" w:eastAsia="微软雅黑" w:cs="微软雅黑"/>
                <w:b w:val="0"/>
                <w:bCs/>
                <w:color w:val="auto"/>
                <w:spacing w:val="-6"/>
                <w:sz w:val="21"/>
                <w:szCs w:val="21"/>
                <w:lang w:val="en-US" w:eastAsia="zh-CN"/>
              </w:rPr>
            </w:pPr>
            <w:r>
              <w:rPr>
                <w:rFonts w:hint="eastAsia" w:ascii="微软雅黑" w:hAnsi="微软雅黑" w:eastAsia="微软雅黑" w:cs="微软雅黑"/>
                <w:color w:val="auto"/>
                <w:sz w:val="18"/>
                <w:szCs w:val="18"/>
              </w:rPr>
              <w:t>4、未提供不得分。</w:t>
            </w:r>
          </w:p>
        </w:tc>
      </w:tr>
      <w:tr w14:paraId="3C05ED9E">
        <w:tblPrEx>
          <w:tblCellMar>
            <w:top w:w="0" w:type="dxa"/>
            <w:left w:w="108" w:type="dxa"/>
            <w:bottom w:w="0" w:type="dxa"/>
            <w:right w:w="108" w:type="dxa"/>
          </w:tblCellMar>
        </w:tblPrEx>
        <w:trPr>
          <w:trHeight w:val="3355" w:hRule="atLeast"/>
          <w:jc w:val="center"/>
        </w:trPr>
        <w:tc>
          <w:tcPr>
            <w:tcW w:w="470" w:type="dxa"/>
            <w:vMerge w:val="continue"/>
            <w:tcBorders>
              <w:left w:val="single" w:color="auto" w:sz="4" w:space="0"/>
              <w:right w:val="single" w:color="auto" w:sz="4" w:space="0"/>
            </w:tcBorders>
          </w:tcPr>
          <w:p w14:paraId="210CAE5C">
            <w:pPr>
              <w:widowControl/>
              <w:spacing w:line="360" w:lineRule="exact"/>
              <w:jc w:val="left"/>
              <w:rPr>
                <w:rFonts w:hint="eastAsia" w:ascii="微软雅黑" w:hAnsi="微软雅黑" w:eastAsia="微软雅黑" w:cs="微软雅黑"/>
                <w:b w:val="0"/>
                <w:bCs/>
                <w:color w:val="0070C0"/>
                <w:kern w:val="0"/>
                <w:sz w:val="21"/>
                <w:szCs w:val="21"/>
              </w:rPr>
            </w:pPr>
          </w:p>
        </w:tc>
        <w:tc>
          <w:tcPr>
            <w:tcW w:w="645" w:type="dxa"/>
            <w:vMerge w:val="continue"/>
            <w:tcBorders>
              <w:left w:val="single" w:color="auto" w:sz="4" w:space="0"/>
              <w:right w:val="single" w:color="auto" w:sz="4" w:space="0"/>
            </w:tcBorders>
            <w:vAlign w:val="center"/>
          </w:tcPr>
          <w:p w14:paraId="1F14D809">
            <w:pPr>
              <w:widowControl/>
              <w:spacing w:line="360" w:lineRule="exact"/>
              <w:jc w:val="left"/>
              <w:rPr>
                <w:rFonts w:hint="eastAsia" w:ascii="微软雅黑" w:hAnsi="微软雅黑" w:eastAsia="微软雅黑" w:cs="微软雅黑"/>
                <w:b w:val="0"/>
                <w:bCs/>
                <w:color w:val="0070C0"/>
                <w:kern w:val="0"/>
                <w:sz w:val="21"/>
                <w:szCs w:val="21"/>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924FEDD">
            <w:pPr>
              <w:widowControl/>
              <w:spacing w:line="360" w:lineRule="exact"/>
              <w:jc w:val="center"/>
              <w:rPr>
                <w:rFonts w:hint="eastAsia" w:ascii="微软雅黑" w:hAnsi="微软雅黑" w:eastAsia="微软雅黑" w:cs="微软雅黑"/>
                <w:b w:val="0"/>
                <w:bCs/>
                <w:color w:val="auto"/>
                <w:spacing w:val="-6"/>
                <w:sz w:val="18"/>
                <w:szCs w:val="18"/>
                <w:highlight w:val="yellow"/>
                <w:lang w:eastAsia="zh-CN"/>
              </w:rPr>
            </w:pPr>
            <w:r>
              <w:rPr>
                <w:rFonts w:hint="eastAsia" w:ascii="微软雅黑" w:hAnsi="微软雅黑" w:eastAsia="微软雅黑" w:cs="微软雅黑"/>
                <w:color w:val="auto"/>
                <w:sz w:val="18"/>
                <w:szCs w:val="18"/>
              </w:rPr>
              <w:t>人员管理方案</w:t>
            </w:r>
          </w:p>
        </w:tc>
        <w:tc>
          <w:tcPr>
            <w:tcW w:w="709" w:type="dxa"/>
            <w:tcBorders>
              <w:top w:val="single" w:color="auto" w:sz="4" w:space="0"/>
              <w:left w:val="nil"/>
              <w:bottom w:val="single" w:color="auto" w:sz="4" w:space="0"/>
              <w:right w:val="single" w:color="auto" w:sz="4" w:space="0"/>
            </w:tcBorders>
            <w:shd w:val="clear" w:color="auto" w:fill="auto"/>
            <w:vAlign w:val="center"/>
          </w:tcPr>
          <w:p w14:paraId="0E1372E0">
            <w:pPr>
              <w:widowControl/>
              <w:spacing w:line="360" w:lineRule="exact"/>
              <w:jc w:val="center"/>
              <w:rPr>
                <w:rFonts w:hint="default" w:ascii="微软雅黑" w:hAnsi="微软雅黑" w:eastAsia="微软雅黑" w:cs="微软雅黑"/>
                <w:b w:val="0"/>
                <w:bCs/>
                <w:color w:val="auto"/>
                <w:spacing w:val="-6"/>
                <w:sz w:val="18"/>
                <w:szCs w:val="18"/>
                <w:lang w:val="en-US" w:eastAsia="zh-CN"/>
              </w:rPr>
            </w:pPr>
            <w:r>
              <w:rPr>
                <w:rFonts w:hint="eastAsia" w:ascii="微软雅黑" w:hAnsi="微软雅黑" w:eastAsia="微软雅黑" w:cs="微软雅黑"/>
                <w:b w:val="0"/>
                <w:bCs/>
                <w:color w:val="auto"/>
                <w:spacing w:val="-6"/>
                <w:sz w:val="18"/>
                <w:szCs w:val="18"/>
                <w:lang w:val="en-US" w:eastAsia="zh-CN"/>
              </w:rPr>
              <w:t>10分</w:t>
            </w:r>
          </w:p>
        </w:tc>
        <w:tc>
          <w:tcPr>
            <w:tcW w:w="6205" w:type="dxa"/>
            <w:tcBorders>
              <w:top w:val="single" w:color="auto" w:sz="4" w:space="0"/>
              <w:left w:val="nil"/>
              <w:bottom w:val="single" w:color="auto" w:sz="4" w:space="0"/>
              <w:right w:val="single" w:color="auto" w:sz="4" w:space="0"/>
            </w:tcBorders>
            <w:shd w:val="clear" w:color="auto" w:fill="auto"/>
            <w:vAlign w:val="center"/>
          </w:tcPr>
          <w:p w14:paraId="7D448605">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根据投标人针对本项目的服务内容、服务标准以及服务对象特殊性质提供的保安服务整体方案，内容包含但不限于总体管理服务模式及设想、项目重难点分析及解决方案、工作运作流程、值守方案、档案管理等进行综合评审</w:t>
            </w:r>
            <w:r>
              <w:rPr>
                <w:rFonts w:hint="eastAsia" w:ascii="微软雅黑" w:hAnsi="微软雅黑" w:eastAsia="微软雅黑" w:cs="微软雅黑"/>
                <w:color w:val="auto"/>
                <w:sz w:val="18"/>
                <w:szCs w:val="18"/>
                <w:lang w:eastAsia="zh-CN"/>
              </w:rPr>
              <w:t>：</w:t>
            </w:r>
          </w:p>
          <w:p w14:paraId="60228822">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1</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服务方案内容完整，设想、理念完全符合项目要求、科学、细致、全面、针对性强得</w:t>
            </w:r>
            <w:r>
              <w:rPr>
                <w:rFonts w:hint="eastAsia" w:ascii="微软雅黑" w:hAnsi="微软雅黑" w:eastAsia="微软雅黑" w:cs="微软雅黑"/>
                <w:color w:val="auto"/>
                <w:sz w:val="18"/>
                <w:szCs w:val="18"/>
                <w:lang w:val="en-US" w:eastAsia="zh-CN"/>
              </w:rPr>
              <w:t>10</w:t>
            </w:r>
            <w:r>
              <w:rPr>
                <w:rFonts w:hint="eastAsia" w:ascii="微软雅黑" w:hAnsi="微软雅黑" w:eastAsia="微软雅黑" w:cs="微软雅黑"/>
                <w:color w:val="auto"/>
                <w:sz w:val="18"/>
                <w:szCs w:val="18"/>
              </w:rPr>
              <w:t>分</w:t>
            </w:r>
            <w:r>
              <w:rPr>
                <w:rFonts w:hint="eastAsia" w:ascii="微软雅黑" w:hAnsi="微软雅黑" w:eastAsia="微软雅黑" w:cs="微软雅黑"/>
                <w:color w:val="auto"/>
                <w:sz w:val="18"/>
                <w:szCs w:val="18"/>
                <w:lang w:eastAsia="zh-CN"/>
              </w:rPr>
              <w:t>；</w:t>
            </w:r>
          </w:p>
          <w:p w14:paraId="317B7E01">
            <w:pPr>
              <w:numPr>
                <w:ilvl w:val="0"/>
                <w:numId w:val="0"/>
              </w:numPr>
              <w:ind w:leftChars="0"/>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val="en-US" w:eastAsia="zh-CN"/>
              </w:rPr>
              <w:t>2、</w:t>
            </w:r>
            <w:r>
              <w:rPr>
                <w:rFonts w:hint="eastAsia" w:ascii="微软雅黑" w:hAnsi="微软雅黑" w:eastAsia="微软雅黑" w:cs="微软雅黑"/>
                <w:color w:val="auto"/>
                <w:sz w:val="18"/>
                <w:szCs w:val="18"/>
              </w:rPr>
              <w:t>服务方案内容基本完整，设想、理念符合项目要求、较为科学、细致，针对性较强得</w:t>
            </w:r>
            <w:r>
              <w:rPr>
                <w:rFonts w:hint="eastAsia" w:ascii="微软雅黑" w:hAnsi="微软雅黑" w:eastAsia="微软雅黑" w:cs="微软雅黑"/>
                <w:color w:val="auto"/>
                <w:sz w:val="18"/>
                <w:szCs w:val="18"/>
                <w:lang w:val="en-US" w:eastAsia="zh-CN"/>
              </w:rPr>
              <w:t>8</w:t>
            </w:r>
            <w:r>
              <w:rPr>
                <w:rFonts w:hint="eastAsia" w:ascii="微软雅黑" w:hAnsi="微软雅黑" w:eastAsia="微软雅黑" w:cs="微软雅黑"/>
                <w:color w:val="auto"/>
                <w:sz w:val="18"/>
                <w:szCs w:val="18"/>
              </w:rPr>
              <w:t>分</w:t>
            </w:r>
            <w:r>
              <w:rPr>
                <w:rFonts w:hint="eastAsia" w:ascii="微软雅黑" w:hAnsi="微软雅黑" w:eastAsia="微软雅黑" w:cs="微软雅黑"/>
                <w:color w:val="auto"/>
                <w:sz w:val="18"/>
                <w:szCs w:val="18"/>
                <w:lang w:eastAsia="zh-CN"/>
              </w:rPr>
              <w:t>；</w:t>
            </w:r>
          </w:p>
          <w:p w14:paraId="08CB399B">
            <w:pPr>
              <w:numPr>
                <w:ilvl w:val="0"/>
                <w:numId w:val="0"/>
              </w:numPr>
              <w:ind w:leftChars="0"/>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3</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服务方案内容不够完整，设想、理念基本可行有一定针对性得</w:t>
            </w:r>
            <w:r>
              <w:rPr>
                <w:rFonts w:hint="eastAsia" w:ascii="微软雅黑" w:hAnsi="微软雅黑" w:eastAsia="微软雅黑" w:cs="微软雅黑"/>
                <w:color w:val="auto"/>
                <w:sz w:val="18"/>
                <w:szCs w:val="18"/>
                <w:lang w:val="en-US" w:eastAsia="zh-CN"/>
              </w:rPr>
              <w:t>6</w:t>
            </w:r>
            <w:r>
              <w:rPr>
                <w:rFonts w:hint="eastAsia" w:ascii="微软雅黑" w:hAnsi="微软雅黑" w:eastAsia="微软雅黑" w:cs="微软雅黑"/>
                <w:color w:val="auto"/>
                <w:sz w:val="18"/>
                <w:szCs w:val="18"/>
              </w:rPr>
              <w:t>分</w:t>
            </w:r>
            <w:r>
              <w:rPr>
                <w:rFonts w:hint="eastAsia" w:ascii="微软雅黑" w:hAnsi="微软雅黑" w:eastAsia="微软雅黑" w:cs="微软雅黑"/>
                <w:color w:val="auto"/>
                <w:sz w:val="18"/>
                <w:szCs w:val="18"/>
                <w:lang w:eastAsia="zh-CN"/>
              </w:rPr>
              <w:t>；</w:t>
            </w:r>
          </w:p>
          <w:p w14:paraId="704978F5">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4</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服务方案内容一般，针对性一般得</w:t>
            </w:r>
            <w:r>
              <w:rPr>
                <w:rFonts w:hint="eastAsia" w:ascii="微软雅黑" w:hAnsi="微软雅黑" w:eastAsia="微软雅黑" w:cs="微软雅黑"/>
                <w:color w:val="auto"/>
                <w:sz w:val="18"/>
                <w:szCs w:val="18"/>
                <w:lang w:val="en-US" w:eastAsia="zh-CN"/>
              </w:rPr>
              <w:t>5</w:t>
            </w:r>
            <w:r>
              <w:rPr>
                <w:rFonts w:hint="eastAsia" w:ascii="微软雅黑" w:hAnsi="微软雅黑" w:eastAsia="微软雅黑" w:cs="微软雅黑"/>
                <w:color w:val="auto"/>
                <w:sz w:val="18"/>
                <w:szCs w:val="18"/>
              </w:rPr>
              <w:t>分</w:t>
            </w:r>
            <w:r>
              <w:rPr>
                <w:rFonts w:hint="eastAsia" w:ascii="微软雅黑" w:hAnsi="微软雅黑" w:eastAsia="微软雅黑" w:cs="微软雅黑"/>
                <w:color w:val="auto"/>
                <w:sz w:val="18"/>
                <w:szCs w:val="18"/>
                <w:lang w:eastAsia="zh-CN"/>
              </w:rPr>
              <w:t>；</w:t>
            </w:r>
          </w:p>
          <w:p w14:paraId="4B5816CB">
            <w:pPr>
              <w:pStyle w:val="12"/>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color w:val="auto"/>
                <w:sz w:val="18"/>
                <w:szCs w:val="18"/>
              </w:rPr>
              <w:t>5</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未提供不得分。</w:t>
            </w:r>
          </w:p>
        </w:tc>
      </w:tr>
      <w:tr w14:paraId="0D5EBC65">
        <w:tblPrEx>
          <w:tblCellMar>
            <w:top w:w="0" w:type="dxa"/>
            <w:left w:w="108" w:type="dxa"/>
            <w:bottom w:w="0" w:type="dxa"/>
            <w:right w:w="108" w:type="dxa"/>
          </w:tblCellMar>
        </w:tblPrEx>
        <w:trPr>
          <w:trHeight w:val="1820" w:hRule="atLeast"/>
          <w:jc w:val="center"/>
        </w:trPr>
        <w:tc>
          <w:tcPr>
            <w:tcW w:w="470" w:type="dxa"/>
            <w:vMerge w:val="continue"/>
            <w:tcBorders>
              <w:left w:val="single" w:color="auto" w:sz="4" w:space="0"/>
              <w:right w:val="single" w:color="auto" w:sz="4" w:space="0"/>
            </w:tcBorders>
          </w:tcPr>
          <w:p w14:paraId="31471AD4">
            <w:pPr>
              <w:spacing w:line="360" w:lineRule="exact"/>
              <w:jc w:val="center"/>
              <w:rPr>
                <w:rFonts w:hint="eastAsia" w:ascii="微软雅黑" w:hAnsi="微软雅黑" w:eastAsia="微软雅黑" w:cs="微软雅黑"/>
                <w:b w:val="0"/>
                <w:bCs/>
                <w:color w:val="0070C0"/>
                <w:kern w:val="0"/>
                <w:sz w:val="21"/>
                <w:szCs w:val="21"/>
              </w:rPr>
            </w:pPr>
          </w:p>
        </w:tc>
        <w:tc>
          <w:tcPr>
            <w:tcW w:w="645" w:type="dxa"/>
            <w:vMerge w:val="continue"/>
            <w:tcBorders>
              <w:left w:val="single" w:color="auto" w:sz="4" w:space="0"/>
              <w:right w:val="single" w:color="auto" w:sz="4" w:space="0"/>
            </w:tcBorders>
            <w:shd w:val="clear" w:color="auto" w:fill="auto"/>
            <w:vAlign w:val="center"/>
          </w:tcPr>
          <w:p w14:paraId="19CFB2AC">
            <w:pPr>
              <w:spacing w:line="360" w:lineRule="exact"/>
              <w:jc w:val="center"/>
              <w:rPr>
                <w:rFonts w:hint="eastAsia" w:ascii="微软雅黑" w:hAnsi="微软雅黑" w:eastAsia="微软雅黑" w:cs="微软雅黑"/>
                <w:b w:val="0"/>
                <w:bCs/>
                <w:color w:val="0070C0"/>
                <w:kern w:val="0"/>
                <w:sz w:val="21"/>
                <w:szCs w:val="21"/>
              </w:rPr>
            </w:pPr>
          </w:p>
        </w:tc>
        <w:tc>
          <w:tcPr>
            <w:tcW w:w="1237" w:type="dxa"/>
            <w:tcBorders>
              <w:top w:val="single" w:color="auto" w:sz="4" w:space="0"/>
              <w:left w:val="nil"/>
              <w:bottom w:val="single" w:color="auto" w:sz="4" w:space="0"/>
              <w:right w:val="single" w:color="auto" w:sz="4" w:space="0"/>
            </w:tcBorders>
            <w:shd w:val="clear" w:color="auto" w:fill="auto"/>
            <w:vAlign w:val="center"/>
          </w:tcPr>
          <w:p w14:paraId="46E8491E">
            <w:pPr>
              <w:jc w:val="center"/>
              <w:rPr>
                <w:rFonts w:hint="eastAsia" w:ascii="微软雅黑" w:hAnsi="微软雅黑" w:eastAsia="微软雅黑" w:cs="微软雅黑"/>
                <w:b w:val="0"/>
                <w:bCs/>
                <w:color w:val="auto"/>
                <w:spacing w:val="-6"/>
                <w:sz w:val="18"/>
                <w:szCs w:val="18"/>
                <w:highlight w:val="yellow"/>
                <w:lang w:eastAsia="zh-CN"/>
              </w:rPr>
            </w:pPr>
            <w:r>
              <w:rPr>
                <w:rFonts w:hint="eastAsia" w:ascii="微软雅黑" w:hAnsi="微软雅黑" w:eastAsia="微软雅黑" w:cs="微软雅黑"/>
                <w:color w:val="auto"/>
                <w:sz w:val="18"/>
                <w:szCs w:val="18"/>
              </w:rPr>
              <w:t>物资装备</w:t>
            </w:r>
          </w:p>
        </w:tc>
        <w:tc>
          <w:tcPr>
            <w:tcW w:w="709" w:type="dxa"/>
            <w:tcBorders>
              <w:top w:val="single" w:color="auto" w:sz="4" w:space="0"/>
              <w:left w:val="nil"/>
              <w:bottom w:val="single" w:color="auto" w:sz="4" w:space="0"/>
              <w:right w:val="single" w:color="auto" w:sz="4" w:space="0"/>
            </w:tcBorders>
            <w:shd w:val="clear" w:color="auto" w:fill="auto"/>
            <w:vAlign w:val="center"/>
          </w:tcPr>
          <w:p w14:paraId="2C5965F6">
            <w:pPr>
              <w:jc w:val="center"/>
              <w:rPr>
                <w:rFonts w:hint="default" w:ascii="微软雅黑" w:hAnsi="微软雅黑" w:eastAsia="微软雅黑" w:cs="微软雅黑"/>
                <w:b w:val="0"/>
                <w:bCs/>
                <w:color w:val="auto"/>
                <w:kern w:val="0"/>
                <w:sz w:val="18"/>
                <w:szCs w:val="18"/>
                <w:lang w:val="en-US" w:eastAsia="zh-CN"/>
              </w:rPr>
            </w:pPr>
            <w:r>
              <w:rPr>
                <w:rFonts w:hint="eastAsia" w:ascii="微软雅黑" w:hAnsi="微软雅黑" w:eastAsia="微软雅黑" w:cs="微软雅黑"/>
                <w:b w:val="0"/>
                <w:bCs/>
                <w:color w:val="auto"/>
                <w:kern w:val="0"/>
                <w:sz w:val="18"/>
                <w:szCs w:val="18"/>
                <w:lang w:val="en-US" w:eastAsia="zh-CN"/>
              </w:rPr>
              <w:t>5分</w:t>
            </w:r>
          </w:p>
        </w:tc>
        <w:tc>
          <w:tcPr>
            <w:tcW w:w="6205" w:type="dxa"/>
            <w:tcBorders>
              <w:top w:val="single" w:color="auto" w:sz="4" w:space="0"/>
              <w:left w:val="nil"/>
              <w:bottom w:val="single" w:color="auto" w:sz="4" w:space="0"/>
              <w:right w:val="single" w:color="auto" w:sz="4" w:space="0"/>
            </w:tcBorders>
            <w:shd w:val="clear" w:color="auto" w:fill="auto"/>
            <w:vAlign w:val="top"/>
          </w:tcPr>
          <w:p w14:paraId="0FDCD5A5">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根据投标人针对本项目提供的物资装备管理方案进行评审，包括但不限于物资装备及劳保用品配备物资装备管理、日常用具管理等进行综合评审:</w:t>
            </w:r>
          </w:p>
          <w:p w14:paraId="48FDE302">
            <w:pPr>
              <w:numPr>
                <w:ilvl w:val="0"/>
                <w:numId w:val="0"/>
              </w:num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val="en-US" w:eastAsia="zh-CN"/>
              </w:rPr>
              <w:t>1、</w:t>
            </w:r>
            <w:r>
              <w:rPr>
                <w:rFonts w:hint="eastAsia" w:ascii="微软雅黑" w:hAnsi="微软雅黑" w:eastAsia="微软雅黑" w:cs="微软雅黑"/>
                <w:color w:val="auto"/>
                <w:sz w:val="18"/>
                <w:szCs w:val="18"/>
              </w:rPr>
              <w:t>管理方案完善、科学，措施可行性强得</w:t>
            </w:r>
            <w:r>
              <w:rPr>
                <w:rFonts w:hint="eastAsia" w:ascii="微软雅黑" w:hAnsi="微软雅黑" w:eastAsia="微软雅黑" w:cs="微软雅黑"/>
                <w:color w:val="auto"/>
                <w:sz w:val="18"/>
                <w:szCs w:val="18"/>
                <w:lang w:val="en-US" w:eastAsia="zh-CN"/>
              </w:rPr>
              <w:t>5</w:t>
            </w:r>
            <w:r>
              <w:rPr>
                <w:rFonts w:hint="eastAsia" w:ascii="微软雅黑" w:hAnsi="微软雅黑" w:eastAsia="微软雅黑" w:cs="微软雅黑"/>
                <w:color w:val="auto"/>
                <w:sz w:val="18"/>
                <w:szCs w:val="18"/>
              </w:rPr>
              <w:t>分</w:t>
            </w:r>
            <w:r>
              <w:rPr>
                <w:rFonts w:hint="eastAsia" w:ascii="微软雅黑" w:hAnsi="微软雅黑" w:eastAsia="微软雅黑" w:cs="微软雅黑"/>
                <w:color w:val="auto"/>
                <w:sz w:val="18"/>
                <w:szCs w:val="18"/>
                <w:lang w:eastAsia="zh-CN"/>
              </w:rPr>
              <w:t>；</w:t>
            </w:r>
          </w:p>
          <w:p w14:paraId="53CEF7D2">
            <w:pPr>
              <w:numPr>
                <w:ilvl w:val="0"/>
                <w:numId w:val="0"/>
              </w:numPr>
              <w:ind w:leftChars="0"/>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val="en-US" w:eastAsia="zh-CN"/>
              </w:rPr>
              <w:t>2、</w:t>
            </w:r>
            <w:r>
              <w:rPr>
                <w:rFonts w:hint="eastAsia" w:ascii="微软雅黑" w:hAnsi="微软雅黑" w:eastAsia="微软雅黑" w:cs="微软雅黑"/>
                <w:color w:val="auto"/>
                <w:sz w:val="18"/>
                <w:szCs w:val="18"/>
              </w:rPr>
              <w:t>管理方案基本完善、科学，措施有一定可行性得</w:t>
            </w:r>
            <w:r>
              <w:rPr>
                <w:rFonts w:hint="eastAsia" w:ascii="微软雅黑" w:hAnsi="微软雅黑" w:eastAsia="微软雅黑" w:cs="微软雅黑"/>
                <w:color w:val="auto"/>
                <w:sz w:val="18"/>
                <w:szCs w:val="18"/>
                <w:lang w:val="en-US" w:eastAsia="zh-CN"/>
              </w:rPr>
              <w:t>3</w:t>
            </w:r>
            <w:r>
              <w:rPr>
                <w:rFonts w:hint="eastAsia" w:ascii="微软雅黑" w:hAnsi="微软雅黑" w:eastAsia="微软雅黑" w:cs="微软雅黑"/>
                <w:color w:val="auto"/>
                <w:sz w:val="18"/>
                <w:szCs w:val="18"/>
              </w:rPr>
              <w:t>分</w:t>
            </w:r>
            <w:r>
              <w:rPr>
                <w:rFonts w:hint="eastAsia" w:ascii="微软雅黑" w:hAnsi="微软雅黑" w:eastAsia="微软雅黑" w:cs="微软雅黑"/>
                <w:color w:val="auto"/>
                <w:sz w:val="18"/>
                <w:szCs w:val="18"/>
                <w:lang w:eastAsia="zh-CN"/>
              </w:rPr>
              <w:t>；</w:t>
            </w:r>
          </w:p>
          <w:p w14:paraId="10EB6158">
            <w:pPr>
              <w:numPr>
                <w:ilvl w:val="0"/>
                <w:numId w:val="0"/>
              </w:numPr>
              <w:ind w:left="0" w:leftChars="0" w:firstLine="0" w:firstLineChars="0"/>
              <w:rPr>
                <w:rFonts w:hint="eastAsia" w:ascii="微软雅黑" w:hAnsi="微软雅黑" w:eastAsia="微软雅黑" w:cs="微软雅黑"/>
                <w:b w:val="0"/>
                <w:bCs/>
                <w:color w:val="auto"/>
                <w:spacing w:val="-6"/>
                <w:sz w:val="18"/>
                <w:szCs w:val="18"/>
              </w:rPr>
            </w:pPr>
            <w:r>
              <w:rPr>
                <w:rFonts w:hint="eastAsia" w:ascii="微软雅黑" w:hAnsi="微软雅黑" w:eastAsia="微软雅黑" w:cs="微软雅黑"/>
                <w:color w:val="auto"/>
                <w:sz w:val="18"/>
                <w:szCs w:val="18"/>
              </w:rPr>
              <w:t>3</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未提供不得分。</w:t>
            </w:r>
          </w:p>
        </w:tc>
      </w:tr>
      <w:tr w14:paraId="58A5F945">
        <w:tblPrEx>
          <w:tblCellMar>
            <w:top w:w="0" w:type="dxa"/>
            <w:left w:w="108" w:type="dxa"/>
            <w:bottom w:w="0" w:type="dxa"/>
            <w:right w:w="108" w:type="dxa"/>
          </w:tblCellMar>
        </w:tblPrEx>
        <w:trPr>
          <w:trHeight w:val="2422" w:hRule="atLeast"/>
          <w:jc w:val="center"/>
        </w:trPr>
        <w:tc>
          <w:tcPr>
            <w:tcW w:w="470" w:type="dxa"/>
            <w:vMerge w:val="continue"/>
            <w:tcBorders>
              <w:left w:val="single" w:color="auto" w:sz="4" w:space="0"/>
              <w:right w:val="single" w:color="auto" w:sz="4" w:space="0"/>
            </w:tcBorders>
          </w:tcPr>
          <w:p w14:paraId="614960CF">
            <w:pPr>
              <w:spacing w:line="360" w:lineRule="exact"/>
              <w:jc w:val="center"/>
              <w:rPr>
                <w:rFonts w:hint="eastAsia" w:ascii="微软雅黑" w:hAnsi="微软雅黑" w:eastAsia="微软雅黑" w:cs="微软雅黑"/>
                <w:b w:val="0"/>
                <w:bCs/>
                <w:color w:val="0070C0"/>
                <w:kern w:val="0"/>
                <w:sz w:val="21"/>
                <w:szCs w:val="21"/>
              </w:rPr>
            </w:pPr>
          </w:p>
        </w:tc>
        <w:tc>
          <w:tcPr>
            <w:tcW w:w="645" w:type="dxa"/>
            <w:vMerge w:val="continue"/>
            <w:tcBorders>
              <w:left w:val="single" w:color="auto" w:sz="4" w:space="0"/>
              <w:right w:val="single" w:color="auto" w:sz="4" w:space="0"/>
            </w:tcBorders>
            <w:shd w:val="clear" w:color="auto" w:fill="auto"/>
            <w:vAlign w:val="center"/>
          </w:tcPr>
          <w:p w14:paraId="12017CE3">
            <w:pPr>
              <w:spacing w:line="360" w:lineRule="exact"/>
              <w:jc w:val="center"/>
              <w:rPr>
                <w:rFonts w:hint="eastAsia" w:ascii="微软雅黑" w:hAnsi="微软雅黑" w:eastAsia="微软雅黑" w:cs="微软雅黑"/>
                <w:b w:val="0"/>
                <w:bCs/>
                <w:color w:val="0070C0"/>
                <w:kern w:val="0"/>
                <w:sz w:val="21"/>
                <w:szCs w:val="21"/>
              </w:rPr>
            </w:pPr>
          </w:p>
        </w:tc>
        <w:tc>
          <w:tcPr>
            <w:tcW w:w="1237" w:type="dxa"/>
            <w:tcBorders>
              <w:top w:val="single" w:color="auto" w:sz="4" w:space="0"/>
              <w:left w:val="nil"/>
              <w:bottom w:val="single" w:color="auto" w:sz="4" w:space="0"/>
              <w:right w:val="single" w:color="auto" w:sz="4" w:space="0"/>
            </w:tcBorders>
            <w:shd w:val="clear" w:color="auto" w:fill="auto"/>
            <w:vAlign w:val="center"/>
          </w:tcPr>
          <w:p w14:paraId="45ABACE8">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突发事件应急预案</w:t>
            </w:r>
          </w:p>
        </w:tc>
        <w:tc>
          <w:tcPr>
            <w:tcW w:w="709" w:type="dxa"/>
            <w:tcBorders>
              <w:top w:val="single" w:color="auto" w:sz="4" w:space="0"/>
              <w:left w:val="nil"/>
              <w:bottom w:val="single" w:color="auto" w:sz="4" w:space="0"/>
              <w:right w:val="single" w:color="auto" w:sz="4" w:space="0"/>
            </w:tcBorders>
            <w:shd w:val="clear" w:color="auto" w:fill="auto"/>
            <w:vAlign w:val="center"/>
          </w:tcPr>
          <w:p w14:paraId="5676D851">
            <w:pPr>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5分</w:t>
            </w:r>
          </w:p>
        </w:tc>
        <w:tc>
          <w:tcPr>
            <w:tcW w:w="6205" w:type="dxa"/>
            <w:tcBorders>
              <w:top w:val="single" w:color="auto" w:sz="4" w:space="0"/>
              <w:left w:val="nil"/>
              <w:bottom w:val="single" w:color="auto" w:sz="4" w:space="0"/>
              <w:right w:val="single" w:color="auto" w:sz="4" w:space="0"/>
            </w:tcBorders>
            <w:shd w:val="clear" w:color="auto" w:fill="auto"/>
            <w:vAlign w:val="top"/>
          </w:tcPr>
          <w:p w14:paraId="065D1642">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根据投标人提供的安保管理应急措施是否能在紧急情况发生时及时应对、快速解决进行综合评审。</w:t>
            </w:r>
          </w:p>
          <w:p w14:paraId="140B3355">
            <w:pPr>
              <w:numPr>
                <w:ilvl w:val="0"/>
                <w:numId w:val="0"/>
              </w:num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val="en-US" w:eastAsia="zh-CN"/>
              </w:rPr>
              <w:t>1、</w:t>
            </w:r>
            <w:r>
              <w:rPr>
                <w:rFonts w:hint="eastAsia" w:ascii="微软雅黑" w:hAnsi="微软雅黑" w:eastAsia="微软雅黑" w:cs="微软雅黑"/>
                <w:color w:val="auto"/>
                <w:sz w:val="18"/>
                <w:szCs w:val="18"/>
              </w:rPr>
              <w:t>应急预案完善、科学、合理、针对性强得5分</w:t>
            </w:r>
            <w:r>
              <w:rPr>
                <w:rFonts w:hint="eastAsia" w:ascii="微软雅黑" w:hAnsi="微软雅黑" w:eastAsia="微软雅黑" w:cs="微软雅黑"/>
                <w:color w:val="auto"/>
                <w:sz w:val="18"/>
                <w:szCs w:val="18"/>
                <w:lang w:eastAsia="zh-CN"/>
              </w:rPr>
              <w:t>；</w:t>
            </w:r>
          </w:p>
          <w:p w14:paraId="51CF786C">
            <w:pPr>
              <w:numPr>
                <w:ilvl w:val="0"/>
                <w:numId w:val="0"/>
              </w:num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2</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应急预案较完善、较合理、可行、具有一定针对性得 3分</w:t>
            </w:r>
            <w:r>
              <w:rPr>
                <w:rFonts w:hint="eastAsia" w:ascii="微软雅黑" w:hAnsi="微软雅黑" w:eastAsia="微软雅黑" w:cs="微软雅黑"/>
                <w:color w:val="auto"/>
                <w:sz w:val="18"/>
                <w:szCs w:val="18"/>
                <w:lang w:eastAsia="zh-CN"/>
              </w:rPr>
              <w:t>；</w:t>
            </w:r>
          </w:p>
          <w:p w14:paraId="5CE150C4">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val="en-US" w:eastAsia="zh-CN"/>
              </w:rPr>
              <w:t>3、</w:t>
            </w:r>
            <w:r>
              <w:rPr>
                <w:rFonts w:hint="eastAsia" w:ascii="微软雅黑" w:hAnsi="微软雅黑" w:eastAsia="微软雅黑" w:cs="微软雅黑"/>
                <w:color w:val="auto"/>
                <w:sz w:val="18"/>
                <w:szCs w:val="18"/>
              </w:rPr>
              <w:t>应急预案基本合理，基本可行得1分</w:t>
            </w:r>
            <w:r>
              <w:rPr>
                <w:rFonts w:hint="eastAsia" w:ascii="微软雅黑" w:hAnsi="微软雅黑" w:eastAsia="微软雅黑" w:cs="微软雅黑"/>
                <w:color w:val="auto"/>
                <w:sz w:val="18"/>
                <w:szCs w:val="18"/>
                <w:lang w:eastAsia="zh-CN"/>
              </w:rPr>
              <w:t>；</w:t>
            </w:r>
          </w:p>
          <w:p w14:paraId="44407D5D">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val="en-US" w:eastAsia="zh-CN"/>
              </w:rPr>
              <w:t>4、应急预案不可行，不能满足项目需要得 0 分。</w:t>
            </w:r>
          </w:p>
        </w:tc>
      </w:tr>
      <w:tr w14:paraId="1B1C799E">
        <w:tblPrEx>
          <w:tblCellMar>
            <w:top w:w="0" w:type="dxa"/>
            <w:left w:w="108" w:type="dxa"/>
            <w:bottom w:w="0" w:type="dxa"/>
            <w:right w:w="108" w:type="dxa"/>
          </w:tblCellMar>
        </w:tblPrEx>
        <w:trPr>
          <w:trHeight w:val="2627" w:hRule="atLeast"/>
          <w:jc w:val="center"/>
        </w:trPr>
        <w:tc>
          <w:tcPr>
            <w:tcW w:w="470" w:type="dxa"/>
            <w:vMerge w:val="continue"/>
            <w:tcBorders>
              <w:left w:val="single" w:color="auto" w:sz="4" w:space="0"/>
              <w:right w:val="single" w:color="auto" w:sz="4" w:space="0"/>
            </w:tcBorders>
          </w:tcPr>
          <w:p w14:paraId="1E6E096D">
            <w:pPr>
              <w:spacing w:line="360" w:lineRule="exact"/>
              <w:jc w:val="center"/>
              <w:rPr>
                <w:rFonts w:hint="eastAsia" w:ascii="微软雅黑" w:hAnsi="微软雅黑" w:eastAsia="微软雅黑" w:cs="微软雅黑"/>
                <w:b w:val="0"/>
                <w:bCs/>
                <w:color w:val="0070C0"/>
                <w:kern w:val="0"/>
                <w:sz w:val="21"/>
                <w:szCs w:val="21"/>
              </w:rPr>
            </w:pPr>
          </w:p>
        </w:tc>
        <w:tc>
          <w:tcPr>
            <w:tcW w:w="645" w:type="dxa"/>
            <w:vMerge w:val="restart"/>
            <w:tcBorders>
              <w:top w:val="single" w:color="auto" w:sz="4" w:space="0"/>
              <w:left w:val="single" w:color="auto" w:sz="4" w:space="0"/>
              <w:right w:val="single" w:color="auto" w:sz="4" w:space="0"/>
            </w:tcBorders>
            <w:shd w:val="clear" w:color="auto" w:fill="auto"/>
            <w:vAlign w:val="center"/>
          </w:tcPr>
          <w:p w14:paraId="2BB7309F">
            <w:pPr>
              <w:spacing w:line="360" w:lineRule="exact"/>
              <w:jc w:val="center"/>
              <w:rPr>
                <w:rFonts w:hint="eastAsia" w:ascii="微软雅黑" w:hAnsi="微软雅黑" w:eastAsia="微软雅黑" w:cs="微软雅黑"/>
                <w:b w:val="0"/>
                <w:bCs/>
                <w:color w:val="0070C0"/>
                <w:kern w:val="0"/>
                <w:sz w:val="21"/>
                <w:szCs w:val="21"/>
              </w:rPr>
            </w:pPr>
            <w:r>
              <w:rPr>
                <w:rFonts w:hint="eastAsia" w:ascii="微软雅黑" w:hAnsi="微软雅黑" w:eastAsia="微软雅黑" w:cs="微软雅黑"/>
                <w:b w:val="0"/>
                <w:bCs/>
                <w:color w:val="0070C0"/>
                <w:kern w:val="0"/>
                <w:sz w:val="21"/>
                <w:szCs w:val="21"/>
                <w:lang w:eastAsia="zh-CN"/>
              </w:rPr>
              <w:t>商务</w:t>
            </w:r>
            <w:r>
              <w:rPr>
                <w:rFonts w:hint="eastAsia" w:ascii="微软雅黑" w:hAnsi="微软雅黑" w:eastAsia="微软雅黑" w:cs="微软雅黑"/>
                <w:b w:val="0"/>
                <w:bCs/>
                <w:color w:val="0070C0"/>
                <w:kern w:val="0"/>
                <w:sz w:val="21"/>
                <w:szCs w:val="21"/>
              </w:rPr>
              <w:t>评审</w:t>
            </w:r>
          </w:p>
        </w:tc>
        <w:tc>
          <w:tcPr>
            <w:tcW w:w="1237" w:type="dxa"/>
            <w:tcBorders>
              <w:top w:val="single" w:color="auto" w:sz="4" w:space="0"/>
              <w:left w:val="nil"/>
              <w:bottom w:val="single" w:color="auto" w:sz="4" w:space="0"/>
              <w:right w:val="single" w:color="auto" w:sz="4" w:space="0"/>
            </w:tcBorders>
            <w:shd w:val="clear" w:color="auto" w:fill="auto"/>
            <w:vAlign w:val="center"/>
          </w:tcPr>
          <w:p w14:paraId="03D4515F">
            <w:pPr>
              <w:jc w:val="center"/>
              <w:rPr>
                <w:rFonts w:hint="eastAsia" w:ascii="微软雅黑" w:hAnsi="微软雅黑" w:eastAsia="微软雅黑" w:cs="微软雅黑"/>
                <w:b w:val="0"/>
                <w:bCs/>
                <w:color w:val="auto"/>
                <w:spacing w:val="-6"/>
                <w:sz w:val="18"/>
                <w:szCs w:val="18"/>
                <w:highlight w:val="yellow"/>
              </w:rPr>
            </w:pPr>
            <w:r>
              <w:rPr>
                <w:rFonts w:hint="eastAsia" w:ascii="微软雅黑" w:hAnsi="微软雅黑" w:eastAsia="微软雅黑" w:cs="微软雅黑"/>
                <w:color w:val="auto"/>
                <w:sz w:val="18"/>
                <w:szCs w:val="18"/>
              </w:rPr>
              <w:t>企业业绩</w:t>
            </w:r>
          </w:p>
        </w:tc>
        <w:tc>
          <w:tcPr>
            <w:tcW w:w="709" w:type="dxa"/>
            <w:tcBorders>
              <w:top w:val="single" w:color="auto" w:sz="4" w:space="0"/>
              <w:left w:val="nil"/>
              <w:bottom w:val="single" w:color="auto" w:sz="4" w:space="0"/>
              <w:right w:val="single" w:color="auto" w:sz="4" w:space="0"/>
            </w:tcBorders>
            <w:shd w:val="clear" w:color="auto" w:fill="auto"/>
            <w:vAlign w:val="center"/>
          </w:tcPr>
          <w:p w14:paraId="7930E1C7">
            <w:pPr>
              <w:jc w:val="center"/>
              <w:rPr>
                <w:rFonts w:hint="eastAsia" w:ascii="微软雅黑" w:hAnsi="微软雅黑" w:eastAsia="微软雅黑" w:cs="微软雅黑"/>
                <w:b w:val="0"/>
                <w:bCs/>
                <w:color w:val="auto"/>
                <w:kern w:val="0"/>
                <w:sz w:val="18"/>
                <w:szCs w:val="18"/>
                <w:lang w:val="en-US" w:eastAsia="zh-CN"/>
              </w:rPr>
            </w:pPr>
            <w:r>
              <w:rPr>
                <w:rFonts w:hint="eastAsia" w:ascii="微软雅黑" w:hAnsi="微软雅黑" w:eastAsia="微软雅黑" w:cs="微软雅黑"/>
                <w:color w:val="auto"/>
                <w:sz w:val="18"/>
                <w:szCs w:val="18"/>
                <w:lang w:val="en-US" w:eastAsia="zh-CN"/>
              </w:rPr>
              <w:t>15分</w:t>
            </w:r>
          </w:p>
        </w:tc>
        <w:tc>
          <w:tcPr>
            <w:tcW w:w="6205" w:type="dxa"/>
            <w:tcBorders>
              <w:top w:val="single" w:color="auto" w:sz="4" w:space="0"/>
              <w:left w:val="nil"/>
              <w:bottom w:val="single" w:color="auto" w:sz="4" w:space="0"/>
              <w:right w:val="single" w:color="auto" w:sz="4" w:space="0"/>
            </w:tcBorders>
            <w:shd w:val="clear" w:color="auto" w:fill="auto"/>
            <w:vAlign w:val="top"/>
          </w:tcPr>
          <w:p w14:paraId="0CAF154C">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投标人近三年(自投标截止时间前36个月)有承接过公共场所(包含但不仅限于医院、学校、银行、政府职能部门、行政或事业单位、写字楼、住宅小区、厂矿企业等)的保安服务业绩1项得1分，最多得1</w:t>
            </w:r>
            <w:r>
              <w:rPr>
                <w:rFonts w:hint="eastAsia" w:ascii="微软雅黑" w:hAnsi="微软雅黑" w:eastAsia="微软雅黑" w:cs="微软雅黑"/>
                <w:color w:val="auto"/>
                <w:sz w:val="18"/>
                <w:szCs w:val="18"/>
                <w:lang w:val="en-US" w:eastAsia="zh-CN"/>
              </w:rPr>
              <w:t>5</w:t>
            </w:r>
            <w:r>
              <w:rPr>
                <w:rFonts w:hint="eastAsia" w:ascii="微软雅黑" w:hAnsi="微软雅黑" w:eastAsia="微软雅黑" w:cs="微软雅黑"/>
                <w:color w:val="auto"/>
                <w:sz w:val="18"/>
                <w:szCs w:val="18"/>
              </w:rPr>
              <w:t>分。</w:t>
            </w:r>
          </w:p>
          <w:p w14:paraId="42DF2066">
            <w:pPr>
              <w:rPr>
                <w:rFonts w:hint="eastAsia" w:ascii="微软雅黑" w:hAnsi="微软雅黑" w:eastAsia="微软雅黑" w:cs="微软雅黑"/>
                <w:b w:val="0"/>
                <w:bCs/>
                <w:color w:val="auto"/>
                <w:spacing w:val="-6"/>
                <w:sz w:val="18"/>
                <w:szCs w:val="18"/>
              </w:rPr>
            </w:pPr>
            <w:r>
              <w:rPr>
                <w:rFonts w:hint="eastAsia" w:ascii="微软雅黑" w:hAnsi="微软雅黑" w:eastAsia="微软雅黑" w:cs="微软雅黑"/>
                <w:color w:val="auto"/>
                <w:sz w:val="18"/>
                <w:szCs w:val="18"/>
              </w:rPr>
              <w:t>(投标人需提供政府确定的招投标信息网公告平台发布的中标(成交)结果公告网页截图及网址链接、合同协议和中标通知书。全部提供得分，缺项不得分，同一服务项目不重复计分)</w:t>
            </w:r>
          </w:p>
        </w:tc>
      </w:tr>
      <w:tr w14:paraId="555D5A59">
        <w:tblPrEx>
          <w:tblCellMar>
            <w:top w:w="0" w:type="dxa"/>
            <w:left w:w="108" w:type="dxa"/>
            <w:bottom w:w="0" w:type="dxa"/>
            <w:right w:w="108" w:type="dxa"/>
          </w:tblCellMar>
        </w:tblPrEx>
        <w:trPr>
          <w:trHeight w:val="1528" w:hRule="atLeast"/>
          <w:jc w:val="center"/>
        </w:trPr>
        <w:tc>
          <w:tcPr>
            <w:tcW w:w="470" w:type="dxa"/>
            <w:vMerge w:val="continue"/>
            <w:tcBorders>
              <w:left w:val="single" w:color="auto" w:sz="4" w:space="0"/>
              <w:right w:val="single" w:color="auto" w:sz="4" w:space="0"/>
            </w:tcBorders>
          </w:tcPr>
          <w:p w14:paraId="54D59C2D">
            <w:pPr>
              <w:spacing w:line="360" w:lineRule="exact"/>
              <w:jc w:val="center"/>
              <w:rPr>
                <w:rFonts w:hint="eastAsia" w:ascii="微软雅黑" w:hAnsi="微软雅黑" w:eastAsia="微软雅黑" w:cs="微软雅黑"/>
                <w:b w:val="0"/>
                <w:bCs/>
                <w:color w:val="0070C0"/>
                <w:kern w:val="0"/>
                <w:sz w:val="21"/>
                <w:szCs w:val="21"/>
              </w:rPr>
            </w:pPr>
          </w:p>
        </w:tc>
        <w:tc>
          <w:tcPr>
            <w:tcW w:w="645" w:type="dxa"/>
            <w:vMerge w:val="continue"/>
            <w:tcBorders>
              <w:left w:val="single" w:color="auto" w:sz="4" w:space="0"/>
              <w:right w:val="single" w:color="auto" w:sz="4" w:space="0"/>
            </w:tcBorders>
            <w:shd w:val="clear" w:color="auto" w:fill="auto"/>
            <w:vAlign w:val="center"/>
          </w:tcPr>
          <w:p w14:paraId="26635D9D">
            <w:pPr>
              <w:spacing w:line="360" w:lineRule="exact"/>
              <w:jc w:val="center"/>
              <w:rPr>
                <w:rFonts w:hint="eastAsia" w:ascii="微软雅黑" w:hAnsi="微软雅黑" w:eastAsia="微软雅黑" w:cs="微软雅黑"/>
                <w:b w:val="0"/>
                <w:bCs/>
                <w:color w:val="0070C0"/>
                <w:kern w:val="0"/>
                <w:sz w:val="21"/>
                <w:szCs w:val="21"/>
              </w:rPr>
            </w:pPr>
          </w:p>
        </w:tc>
        <w:tc>
          <w:tcPr>
            <w:tcW w:w="1237" w:type="dxa"/>
            <w:tcBorders>
              <w:top w:val="single" w:color="auto" w:sz="4" w:space="0"/>
              <w:left w:val="nil"/>
              <w:bottom w:val="single" w:color="auto" w:sz="4" w:space="0"/>
              <w:right w:val="single" w:color="auto" w:sz="4" w:space="0"/>
            </w:tcBorders>
            <w:shd w:val="clear" w:color="auto" w:fill="auto"/>
            <w:vAlign w:val="center"/>
          </w:tcPr>
          <w:p w14:paraId="63C55AA3">
            <w:pPr>
              <w:jc w:val="center"/>
              <w:rPr>
                <w:rFonts w:hint="eastAsia" w:ascii="微软雅黑" w:hAnsi="微软雅黑" w:eastAsia="微软雅黑" w:cs="微软雅黑"/>
                <w:b w:val="0"/>
                <w:bCs/>
                <w:color w:val="auto"/>
                <w:spacing w:val="-6"/>
                <w:sz w:val="18"/>
                <w:szCs w:val="18"/>
                <w:highlight w:val="yellow"/>
                <w:lang w:val="en-US" w:eastAsia="zh-CN"/>
              </w:rPr>
            </w:pPr>
            <w:r>
              <w:rPr>
                <w:rFonts w:hint="eastAsia" w:ascii="微软雅黑" w:hAnsi="微软雅黑" w:eastAsia="微软雅黑" w:cs="微软雅黑"/>
                <w:b w:val="0"/>
                <w:bCs/>
                <w:color w:val="auto"/>
                <w:spacing w:val="-6"/>
                <w:sz w:val="18"/>
                <w:szCs w:val="18"/>
                <w:highlight w:val="none"/>
                <w:lang w:val="en-US" w:eastAsia="zh-CN"/>
              </w:rPr>
              <w:t>公司实力</w:t>
            </w:r>
          </w:p>
        </w:tc>
        <w:tc>
          <w:tcPr>
            <w:tcW w:w="709" w:type="dxa"/>
            <w:tcBorders>
              <w:top w:val="single" w:color="auto" w:sz="4" w:space="0"/>
              <w:left w:val="nil"/>
              <w:bottom w:val="single" w:color="auto" w:sz="4" w:space="0"/>
              <w:right w:val="single" w:color="auto" w:sz="4" w:space="0"/>
            </w:tcBorders>
            <w:shd w:val="clear" w:color="auto" w:fill="auto"/>
            <w:vAlign w:val="center"/>
          </w:tcPr>
          <w:p w14:paraId="07069497">
            <w:pPr>
              <w:jc w:val="center"/>
              <w:rPr>
                <w:rFonts w:hint="eastAsia" w:ascii="微软雅黑" w:hAnsi="微软雅黑" w:eastAsia="微软雅黑" w:cs="微软雅黑"/>
                <w:b w:val="0"/>
                <w:bCs/>
                <w:color w:val="auto"/>
                <w:kern w:val="0"/>
                <w:sz w:val="18"/>
                <w:szCs w:val="18"/>
                <w:lang w:val="en-US" w:eastAsia="zh-CN"/>
              </w:rPr>
            </w:pPr>
            <w:r>
              <w:rPr>
                <w:rFonts w:hint="eastAsia" w:ascii="微软雅黑" w:hAnsi="微软雅黑" w:eastAsia="微软雅黑" w:cs="微软雅黑"/>
                <w:color w:val="auto"/>
                <w:sz w:val="18"/>
                <w:szCs w:val="18"/>
                <w:lang w:val="en-US" w:eastAsia="zh-CN"/>
              </w:rPr>
              <w:t>15分</w:t>
            </w:r>
          </w:p>
        </w:tc>
        <w:tc>
          <w:tcPr>
            <w:tcW w:w="6205" w:type="dxa"/>
            <w:tcBorders>
              <w:top w:val="single" w:color="auto" w:sz="4" w:space="0"/>
              <w:left w:val="nil"/>
              <w:bottom w:val="single" w:color="auto" w:sz="4" w:space="0"/>
              <w:right w:val="single" w:color="auto" w:sz="4" w:space="0"/>
            </w:tcBorders>
            <w:shd w:val="clear" w:color="auto" w:fill="auto"/>
            <w:vAlign w:val="top"/>
          </w:tcPr>
          <w:p w14:paraId="7FE2A711">
            <w:pPr>
              <w:rPr>
                <w:rFonts w:hint="eastAsia" w:ascii="微软雅黑" w:hAnsi="微软雅黑" w:eastAsia="微软雅黑" w:cs="微软雅黑"/>
                <w:b w:val="0"/>
                <w:bCs/>
                <w:color w:val="auto"/>
                <w:spacing w:val="-6"/>
                <w:sz w:val="18"/>
                <w:szCs w:val="18"/>
                <w:lang w:eastAsia="zh-CN"/>
              </w:rPr>
            </w:pPr>
            <w:r>
              <w:rPr>
                <w:rFonts w:hint="eastAsia" w:ascii="微软雅黑" w:hAnsi="微软雅黑" w:eastAsia="微软雅黑" w:cs="微软雅黑"/>
                <w:sz w:val="18"/>
                <w:szCs w:val="18"/>
                <w:lang w:val="en-US" w:eastAsia="zh-CN"/>
              </w:rPr>
              <w:t>根据供应商实力和技术力量综合比较，包括但不限于：机构设立时间、注册资金、员工人数、社保缴纳情况（含项目组成员）、获奖情况等，以及公司经营管理制度的健全性、规范性、科学性、全面性。进行综合对比，按优劣排名，依次得分为：较好得15分，一般得10分，较差不得分。</w:t>
            </w:r>
          </w:p>
        </w:tc>
      </w:tr>
      <w:tr w14:paraId="3477FB65">
        <w:tblPrEx>
          <w:tblCellMar>
            <w:top w:w="0" w:type="dxa"/>
            <w:left w:w="108" w:type="dxa"/>
            <w:bottom w:w="0" w:type="dxa"/>
            <w:right w:w="108" w:type="dxa"/>
          </w:tblCellMar>
        </w:tblPrEx>
        <w:trPr>
          <w:trHeight w:val="840" w:hRule="atLeast"/>
          <w:jc w:val="center"/>
        </w:trPr>
        <w:tc>
          <w:tcPr>
            <w:tcW w:w="470" w:type="dxa"/>
            <w:vMerge w:val="continue"/>
            <w:tcBorders>
              <w:left w:val="single" w:color="auto" w:sz="4" w:space="0"/>
              <w:bottom w:val="single" w:color="auto" w:sz="4" w:space="0"/>
              <w:right w:val="single" w:color="auto" w:sz="4" w:space="0"/>
            </w:tcBorders>
          </w:tcPr>
          <w:p w14:paraId="1F552CFD">
            <w:pPr>
              <w:widowControl/>
              <w:spacing w:line="360" w:lineRule="exact"/>
              <w:jc w:val="left"/>
              <w:rPr>
                <w:rFonts w:hint="eastAsia" w:ascii="微软雅黑" w:hAnsi="微软雅黑" w:eastAsia="微软雅黑" w:cs="微软雅黑"/>
                <w:b w:val="0"/>
                <w:bCs/>
                <w:color w:val="0070C0"/>
                <w:kern w:val="0"/>
                <w:sz w:val="21"/>
                <w:szCs w:val="21"/>
              </w:rPr>
            </w:pPr>
          </w:p>
        </w:tc>
        <w:tc>
          <w:tcPr>
            <w:tcW w:w="645" w:type="dxa"/>
            <w:vMerge w:val="continue"/>
            <w:tcBorders>
              <w:left w:val="single" w:color="auto" w:sz="4" w:space="0"/>
              <w:right w:val="single" w:color="auto" w:sz="4" w:space="0"/>
            </w:tcBorders>
            <w:vAlign w:val="center"/>
          </w:tcPr>
          <w:p w14:paraId="77AC6C8D">
            <w:pPr>
              <w:widowControl/>
              <w:spacing w:line="360" w:lineRule="exact"/>
              <w:jc w:val="left"/>
              <w:rPr>
                <w:rFonts w:hint="eastAsia" w:ascii="微软雅黑" w:hAnsi="微软雅黑" w:eastAsia="微软雅黑" w:cs="微软雅黑"/>
                <w:b w:val="0"/>
                <w:bCs/>
                <w:color w:val="0070C0"/>
                <w:kern w:val="0"/>
                <w:sz w:val="21"/>
                <w:szCs w:val="21"/>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EA99242">
            <w:pPr>
              <w:jc w:val="center"/>
              <w:rPr>
                <w:rFonts w:hint="eastAsia" w:ascii="微软雅黑" w:hAnsi="微软雅黑" w:eastAsia="微软雅黑" w:cs="微软雅黑"/>
                <w:b w:val="0"/>
                <w:bCs/>
                <w:color w:val="auto"/>
                <w:spacing w:val="-6"/>
                <w:sz w:val="18"/>
                <w:szCs w:val="18"/>
                <w:highlight w:val="yellow"/>
              </w:rPr>
            </w:pPr>
            <w:r>
              <w:rPr>
                <w:rFonts w:hint="eastAsia" w:ascii="微软雅黑" w:hAnsi="微软雅黑" w:eastAsia="微软雅黑" w:cs="微软雅黑"/>
                <w:color w:val="auto"/>
                <w:sz w:val="18"/>
                <w:szCs w:val="18"/>
              </w:rPr>
              <w:t>企业信用</w:t>
            </w:r>
          </w:p>
        </w:tc>
        <w:tc>
          <w:tcPr>
            <w:tcW w:w="709" w:type="dxa"/>
            <w:tcBorders>
              <w:top w:val="single" w:color="auto" w:sz="4" w:space="0"/>
              <w:left w:val="nil"/>
              <w:bottom w:val="single" w:color="auto" w:sz="4" w:space="0"/>
              <w:right w:val="single" w:color="auto" w:sz="4" w:space="0"/>
            </w:tcBorders>
            <w:shd w:val="clear" w:color="auto" w:fill="auto"/>
            <w:vAlign w:val="center"/>
          </w:tcPr>
          <w:p w14:paraId="681ED777">
            <w:pPr>
              <w:jc w:val="center"/>
              <w:rPr>
                <w:rFonts w:hint="eastAsia" w:ascii="微软雅黑" w:hAnsi="微软雅黑" w:eastAsia="微软雅黑" w:cs="微软雅黑"/>
                <w:b w:val="0"/>
                <w:bCs/>
                <w:color w:val="auto"/>
                <w:kern w:val="0"/>
                <w:sz w:val="18"/>
                <w:szCs w:val="18"/>
                <w:lang w:val="en-US" w:eastAsia="zh-CN"/>
              </w:rPr>
            </w:pPr>
            <w:r>
              <w:rPr>
                <w:rFonts w:hint="eastAsia" w:ascii="微软雅黑" w:hAnsi="微软雅黑" w:eastAsia="微软雅黑" w:cs="微软雅黑"/>
                <w:color w:val="auto"/>
                <w:sz w:val="18"/>
                <w:szCs w:val="18"/>
                <w:lang w:val="en-US" w:eastAsia="zh-CN"/>
              </w:rPr>
              <w:t>5分</w:t>
            </w:r>
          </w:p>
        </w:tc>
        <w:tc>
          <w:tcPr>
            <w:tcW w:w="6205" w:type="dxa"/>
            <w:tcBorders>
              <w:top w:val="single" w:color="auto" w:sz="4" w:space="0"/>
              <w:left w:val="nil"/>
              <w:bottom w:val="single" w:color="auto" w:sz="4" w:space="0"/>
              <w:right w:val="single" w:color="auto" w:sz="4" w:space="0"/>
            </w:tcBorders>
            <w:shd w:val="clear" w:color="auto" w:fill="auto"/>
            <w:vAlign w:val="top"/>
          </w:tcPr>
          <w:p w14:paraId="6E457251">
            <w:pPr>
              <w:rPr>
                <w:rFonts w:hint="eastAsia" w:ascii="微软雅黑" w:hAnsi="微软雅黑" w:eastAsia="微软雅黑" w:cs="微软雅黑"/>
                <w:b w:val="0"/>
                <w:bCs/>
                <w:color w:val="auto"/>
                <w:spacing w:val="-6"/>
                <w:sz w:val="18"/>
                <w:szCs w:val="18"/>
              </w:rPr>
            </w:pPr>
            <w:r>
              <w:rPr>
                <w:rFonts w:hint="eastAsia" w:ascii="微软雅黑" w:hAnsi="微软雅黑" w:eastAsia="微软雅黑" w:cs="微软雅黑"/>
                <w:color w:val="auto"/>
                <w:sz w:val="18"/>
                <w:szCs w:val="18"/>
              </w:rPr>
              <w:t>投标人近三年(自投标截止时间前36个月</w:t>
            </w:r>
            <w:r>
              <w:rPr>
                <w:rFonts w:hint="eastAsia" w:ascii="微软雅黑" w:hAnsi="微软雅黑" w:eastAsia="微软雅黑" w:cs="微软雅黑"/>
                <w:color w:val="auto"/>
                <w:sz w:val="18"/>
                <w:szCs w:val="18"/>
                <w:lang w:val="en-US" w:eastAsia="zh-CN"/>
              </w:rPr>
              <w:t>以颁发证书日期为准</w:t>
            </w:r>
            <w:r>
              <w:rPr>
                <w:rFonts w:hint="eastAsia" w:ascii="微软雅黑" w:hAnsi="微软雅黑" w:eastAsia="微软雅黑" w:cs="微软雅黑"/>
                <w:color w:val="auto"/>
                <w:sz w:val="18"/>
                <w:szCs w:val="18"/>
              </w:rPr>
              <w:t>)获得过市级市场监督管局颁发“守合重信用企业“得</w:t>
            </w:r>
            <w:r>
              <w:rPr>
                <w:rFonts w:hint="eastAsia" w:ascii="微软雅黑" w:hAnsi="微软雅黑" w:eastAsia="微软雅黑" w:cs="微软雅黑"/>
                <w:color w:val="auto"/>
                <w:sz w:val="18"/>
                <w:szCs w:val="18"/>
                <w:lang w:val="en-US" w:eastAsia="zh-CN"/>
              </w:rPr>
              <w:t>3</w:t>
            </w:r>
            <w:r>
              <w:rPr>
                <w:rFonts w:hint="eastAsia" w:ascii="微软雅黑" w:hAnsi="微软雅黑" w:eastAsia="微软雅黑" w:cs="微软雅黑"/>
                <w:color w:val="auto"/>
                <w:sz w:val="18"/>
                <w:szCs w:val="18"/>
              </w:rPr>
              <w:t>分</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获得过省级及以上市场监督管理局颁发的“守合同重信用”得</w:t>
            </w:r>
            <w:r>
              <w:rPr>
                <w:rFonts w:hint="eastAsia" w:ascii="微软雅黑" w:hAnsi="微软雅黑" w:eastAsia="微软雅黑" w:cs="微软雅黑"/>
                <w:color w:val="auto"/>
                <w:sz w:val="18"/>
                <w:szCs w:val="18"/>
                <w:lang w:val="en-US" w:eastAsia="zh-CN"/>
              </w:rPr>
              <w:t>5</w:t>
            </w:r>
            <w:r>
              <w:rPr>
                <w:rFonts w:hint="eastAsia" w:ascii="微软雅黑" w:hAnsi="微软雅黑" w:eastAsia="微软雅黑" w:cs="微软雅黑"/>
                <w:color w:val="auto"/>
                <w:sz w:val="18"/>
                <w:szCs w:val="18"/>
              </w:rPr>
              <w:t>分。本项最高得</w:t>
            </w:r>
            <w:r>
              <w:rPr>
                <w:rFonts w:hint="eastAsia" w:ascii="微软雅黑" w:hAnsi="微软雅黑" w:eastAsia="微软雅黑" w:cs="微软雅黑"/>
                <w:color w:val="auto"/>
                <w:sz w:val="18"/>
                <w:szCs w:val="18"/>
                <w:lang w:val="en-US" w:eastAsia="zh-CN"/>
              </w:rPr>
              <w:t>5</w:t>
            </w:r>
            <w:r>
              <w:rPr>
                <w:rFonts w:hint="eastAsia" w:ascii="微软雅黑" w:hAnsi="微软雅黑" w:eastAsia="微软雅黑" w:cs="微软雅黑"/>
                <w:color w:val="auto"/>
                <w:sz w:val="18"/>
                <w:szCs w:val="18"/>
              </w:rPr>
              <w:t>分。提供获得证书或获奖文件。</w:t>
            </w:r>
          </w:p>
        </w:tc>
      </w:tr>
      <w:tr w14:paraId="715F31C1">
        <w:tblPrEx>
          <w:tblCellMar>
            <w:top w:w="0" w:type="dxa"/>
            <w:left w:w="108" w:type="dxa"/>
            <w:bottom w:w="0" w:type="dxa"/>
            <w:right w:w="108" w:type="dxa"/>
          </w:tblCellMar>
        </w:tblPrEx>
        <w:trPr>
          <w:trHeight w:val="663" w:hRule="atLeast"/>
          <w:jc w:val="center"/>
        </w:trPr>
        <w:tc>
          <w:tcPr>
            <w:tcW w:w="2352" w:type="dxa"/>
            <w:gridSpan w:val="3"/>
            <w:tcBorders>
              <w:top w:val="single" w:color="auto" w:sz="4" w:space="0"/>
              <w:left w:val="single" w:color="auto" w:sz="4" w:space="0"/>
              <w:bottom w:val="single" w:color="auto" w:sz="4" w:space="0"/>
              <w:right w:val="single" w:color="auto" w:sz="4" w:space="0"/>
            </w:tcBorders>
            <w:vAlign w:val="center"/>
          </w:tcPr>
          <w:p w14:paraId="325C20BE">
            <w:pPr>
              <w:widowControl/>
              <w:spacing w:line="360" w:lineRule="exact"/>
              <w:jc w:val="center"/>
              <w:rPr>
                <w:rFonts w:hint="eastAsia" w:ascii="微软雅黑" w:hAnsi="微软雅黑" w:eastAsia="微软雅黑" w:cs="微软雅黑"/>
                <w:b w:val="0"/>
                <w:bCs/>
                <w:color w:val="0070C0"/>
                <w:kern w:val="0"/>
                <w:sz w:val="21"/>
                <w:szCs w:val="21"/>
              </w:rPr>
            </w:pPr>
            <w:r>
              <w:rPr>
                <w:rFonts w:hint="eastAsia" w:ascii="微软雅黑" w:hAnsi="微软雅黑" w:eastAsia="微软雅黑" w:cs="微软雅黑"/>
                <w:b w:val="0"/>
                <w:bCs/>
                <w:color w:val="0070C0"/>
                <w:kern w:val="0"/>
                <w:sz w:val="21"/>
                <w:szCs w:val="21"/>
              </w:rPr>
              <w:t>价格评审</w:t>
            </w:r>
          </w:p>
        </w:tc>
        <w:tc>
          <w:tcPr>
            <w:tcW w:w="709" w:type="dxa"/>
            <w:tcBorders>
              <w:top w:val="nil"/>
              <w:left w:val="nil"/>
              <w:bottom w:val="single" w:color="auto" w:sz="4" w:space="0"/>
              <w:right w:val="single" w:color="auto" w:sz="4" w:space="0"/>
            </w:tcBorders>
            <w:shd w:val="clear" w:color="auto" w:fill="auto"/>
            <w:vAlign w:val="center"/>
          </w:tcPr>
          <w:p w14:paraId="30B0BE84">
            <w:pPr>
              <w:widowControl/>
              <w:spacing w:line="360" w:lineRule="exact"/>
              <w:jc w:val="center"/>
              <w:rPr>
                <w:rFonts w:hint="default"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lang w:val="en-US" w:eastAsia="zh-CN"/>
              </w:rPr>
              <w:t>30</w:t>
            </w:r>
          </w:p>
        </w:tc>
        <w:tc>
          <w:tcPr>
            <w:tcW w:w="6205" w:type="dxa"/>
            <w:tcBorders>
              <w:top w:val="nil"/>
              <w:left w:val="nil"/>
              <w:bottom w:val="single" w:color="auto" w:sz="4" w:space="0"/>
              <w:right w:val="single" w:color="auto" w:sz="4" w:space="0"/>
            </w:tcBorders>
            <w:shd w:val="clear" w:color="auto" w:fill="auto"/>
            <w:vAlign w:val="center"/>
          </w:tcPr>
          <w:p w14:paraId="14025C44">
            <w:pPr>
              <w:widowControl/>
              <w:spacing w:line="360" w:lineRule="exact"/>
              <w:jc w:val="left"/>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满足采购文件要求且报价最低的投标报价为评标基准价，其价格分为满分。供应商的价格分统一按照下列公式计算：</w:t>
            </w:r>
          </w:p>
          <w:p w14:paraId="79C7172C">
            <w:pPr>
              <w:widowControl/>
              <w:spacing w:line="360" w:lineRule="exact"/>
              <w:jc w:val="left"/>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投标报价得分＝（评标基准价/投标报价）×价格分值</w:t>
            </w:r>
          </w:p>
        </w:tc>
      </w:tr>
      <w:tr w14:paraId="711869FE">
        <w:tblPrEx>
          <w:tblCellMar>
            <w:top w:w="0" w:type="dxa"/>
            <w:left w:w="108" w:type="dxa"/>
            <w:bottom w:w="0" w:type="dxa"/>
            <w:right w:w="108" w:type="dxa"/>
          </w:tblCellMar>
        </w:tblPrEx>
        <w:trPr>
          <w:trHeight w:val="663" w:hRule="atLeast"/>
          <w:jc w:val="center"/>
        </w:trPr>
        <w:tc>
          <w:tcPr>
            <w:tcW w:w="9266" w:type="dxa"/>
            <w:gridSpan w:val="5"/>
            <w:tcBorders>
              <w:top w:val="single" w:color="auto" w:sz="4" w:space="0"/>
              <w:left w:val="single" w:color="auto" w:sz="4" w:space="0"/>
              <w:bottom w:val="single" w:color="auto" w:sz="4" w:space="0"/>
              <w:right w:val="single" w:color="auto" w:sz="4" w:space="0"/>
            </w:tcBorders>
            <w:vAlign w:val="center"/>
          </w:tcPr>
          <w:p w14:paraId="1C311EE9">
            <w:pPr>
              <w:widowControl/>
              <w:spacing w:line="360" w:lineRule="exact"/>
              <w:jc w:val="center"/>
              <w:rPr>
                <w:rFonts w:hint="eastAsia" w:ascii="微软雅黑" w:hAnsi="微软雅黑" w:eastAsia="微软雅黑" w:cs="微软雅黑"/>
                <w:b w:val="0"/>
                <w:bCs/>
                <w:color w:val="0070C0"/>
                <w:kern w:val="0"/>
                <w:sz w:val="21"/>
                <w:szCs w:val="21"/>
              </w:rPr>
            </w:pPr>
            <w:r>
              <w:rPr>
                <w:rFonts w:hint="eastAsia" w:ascii="微软雅黑" w:hAnsi="微软雅黑" w:eastAsia="微软雅黑" w:cs="微软雅黑"/>
                <w:b w:val="0"/>
                <w:bCs/>
                <w:color w:val="0070C0"/>
                <w:kern w:val="0"/>
                <w:sz w:val="21"/>
                <w:szCs w:val="21"/>
              </w:rPr>
              <w:t>总分（100分）</w:t>
            </w:r>
          </w:p>
        </w:tc>
      </w:tr>
    </w:tbl>
    <w:p w14:paraId="3951002F">
      <w:pPr>
        <w:rPr>
          <w:rFonts w:hint="default"/>
          <w:color w:val="0070C0"/>
          <w:lang w:val="en-US" w:eastAsia="zh-CN"/>
        </w:rPr>
      </w:pPr>
      <w:r>
        <w:rPr>
          <w:rFonts w:hint="default"/>
          <w:color w:val="0070C0"/>
          <w:lang w:val="en-US" w:eastAsia="zh-CN"/>
        </w:rPr>
        <w:br w:type="page"/>
      </w:r>
    </w:p>
    <w:p w14:paraId="6BC2725C">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计算方式及定标办法</w:t>
      </w:r>
    </w:p>
    <w:tbl>
      <w:tblPr>
        <w:tblStyle w:val="8"/>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14:paraId="6471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14:paraId="5A3E045B">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14:paraId="264E7609">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得分相同的供应商，按竞标报价由低到高顺序排列。得分且报价相同的，按技术指标优劣顺序排列</w:t>
            </w:r>
          </w:p>
        </w:tc>
      </w:tr>
      <w:tr w14:paraId="7718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14:paraId="21518447">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14:paraId="52BD6801">
            <w:pPr>
              <w:widowControl/>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提供相同品牌产品且通过资格审查、符合性审查的不同投标人参加同一合同项下投标的，按一家投标人计算，评审后得分最高的同品牌投标人获得中标人推荐资格</w:t>
            </w:r>
          </w:p>
        </w:tc>
      </w:tr>
      <w:tr w14:paraId="4F95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14:paraId="45511DFB">
            <w:pPr>
              <w:jc w:val="left"/>
              <w:rPr>
                <w:rFonts w:hint="eastAsia" w:ascii="微软雅黑" w:hAnsi="微软雅黑" w:eastAsia="微软雅黑" w:cs="微软雅黑"/>
                <w:color w:val="0070C0"/>
                <w:sz w:val="21"/>
                <w:szCs w:val="21"/>
              </w:rPr>
            </w:pPr>
            <w:r>
              <w:rPr>
                <w:rFonts w:hint="eastAsia" w:ascii="微软雅黑" w:hAnsi="微软雅黑" w:eastAsia="微软雅黑" w:cs="微软雅黑"/>
                <w:color w:val="0070C0"/>
                <w:kern w:val="0"/>
                <w:sz w:val="21"/>
                <w:szCs w:val="21"/>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14:paraId="2308C3D2">
            <w:pPr>
              <w:widowControl/>
              <w:jc w:val="left"/>
              <w:rPr>
                <w:rFonts w:hint="eastAsia" w:ascii="微软雅黑" w:hAnsi="微软雅黑" w:eastAsia="微软雅黑" w:cs="微软雅黑"/>
                <w:color w:val="0070C0"/>
                <w:kern w:val="0"/>
                <w:sz w:val="21"/>
                <w:szCs w:val="21"/>
              </w:rPr>
            </w:pPr>
            <w:r>
              <w:rPr>
                <w:rFonts w:hint="eastAsia" w:ascii="微软雅黑" w:hAnsi="微软雅黑" w:eastAsia="微软雅黑" w:cs="微软雅黑"/>
                <w:color w:val="0070C0"/>
                <w:kern w:val="0"/>
                <w:sz w:val="21"/>
                <w:szCs w:val="21"/>
              </w:rPr>
              <w:sym w:font="Wingdings" w:char="00FE"/>
            </w:r>
            <w:r>
              <w:rPr>
                <w:rFonts w:hint="eastAsia" w:ascii="微软雅黑" w:hAnsi="微软雅黑" w:eastAsia="微软雅黑" w:cs="微软雅黑"/>
                <w:color w:val="0070C0"/>
                <w:kern w:val="0"/>
                <w:sz w:val="21"/>
                <w:szCs w:val="21"/>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14:paraId="6FD12DBD">
            <w:pPr>
              <w:widowControl/>
              <w:rPr>
                <w:rFonts w:hint="eastAsia" w:ascii="微软雅黑" w:hAnsi="微软雅黑" w:eastAsia="微软雅黑" w:cs="微软雅黑"/>
                <w:color w:val="0070C0"/>
                <w:kern w:val="0"/>
                <w:sz w:val="21"/>
                <w:szCs w:val="21"/>
              </w:rPr>
            </w:pPr>
            <w:r>
              <w:rPr>
                <w:rFonts w:hint="eastAsia" w:ascii="微软雅黑" w:hAnsi="微软雅黑" w:eastAsia="微软雅黑" w:cs="微软雅黑"/>
                <w:color w:val="0070C0"/>
                <w:sz w:val="21"/>
                <w:szCs w:val="21"/>
              </w:rPr>
              <w:t>进行评分，并进行排序（见评分细则）</w:t>
            </w:r>
          </w:p>
        </w:tc>
      </w:tr>
      <w:tr w14:paraId="006F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14:paraId="2CC1456C">
            <w:pPr>
              <w:rPr>
                <w:rFonts w:hint="eastAsia" w:ascii="微软雅黑" w:hAnsi="微软雅黑" w:eastAsia="微软雅黑" w:cs="微软雅黑"/>
                <w:color w:val="0070C0"/>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14:paraId="4D5BA6E6">
            <w:pPr>
              <w:widowControl/>
              <w:jc w:val="left"/>
              <w:rPr>
                <w:rFonts w:hint="eastAsia" w:ascii="微软雅黑" w:hAnsi="微软雅黑" w:eastAsia="微软雅黑" w:cs="微软雅黑"/>
                <w:color w:val="0070C0"/>
                <w:kern w:val="0"/>
                <w:sz w:val="21"/>
                <w:szCs w:val="21"/>
              </w:rPr>
            </w:pPr>
            <w:r>
              <w:rPr>
                <w:rFonts w:hint="eastAsia" w:ascii="微软雅黑" w:hAnsi="微软雅黑" w:eastAsia="微软雅黑" w:cs="微软雅黑"/>
                <w:color w:val="0070C0"/>
                <w:kern w:val="0"/>
                <w:sz w:val="21"/>
                <w:szCs w:val="21"/>
              </w:rPr>
              <w:sym w:font="Wingdings" w:char="00A8"/>
            </w:r>
            <w:r>
              <w:rPr>
                <w:rFonts w:hint="eastAsia" w:ascii="微软雅黑" w:hAnsi="微软雅黑" w:eastAsia="微软雅黑" w:cs="微软雅黑"/>
                <w:color w:val="0070C0"/>
                <w:kern w:val="0"/>
                <w:sz w:val="21"/>
                <w:szCs w:val="21"/>
              </w:rPr>
              <w:t>最低价</w:t>
            </w:r>
          </w:p>
        </w:tc>
        <w:tc>
          <w:tcPr>
            <w:tcW w:w="5767" w:type="dxa"/>
            <w:tcBorders>
              <w:top w:val="single" w:color="auto" w:sz="4" w:space="0"/>
              <w:left w:val="single" w:color="auto" w:sz="4" w:space="0"/>
              <w:bottom w:val="single" w:color="auto" w:sz="4" w:space="0"/>
              <w:right w:val="single" w:color="auto" w:sz="4" w:space="0"/>
            </w:tcBorders>
            <w:vAlign w:val="center"/>
          </w:tcPr>
          <w:p w14:paraId="70662299">
            <w:pPr>
              <w:widowControl/>
              <w:rPr>
                <w:rFonts w:hint="eastAsia" w:ascii="微软雅黑" w:hAnsi="微软雅黑" w:eastAsia="微软雅黑" w:cs="微软雅黑"/>
                <w:color w:val="0070C0"/>
                <w:sz w:val="21"/>
                <w:szCs w:val="21"/>
              </w:rPr>
            </w:pPr>
            <w:r>
              <w:rPr>
                <w:rFonts w:hint="eastAsia" w:ascii="微软雅黑" w:hAnsi="微软雅黑" w:eastAsia="微软雅黑" w:cs="微软雅黑"/>
                <w:color w:val="0070C0"/>
                <w:sz w:val="21"/>
                <w:szCs w:val="21"/>
              </w:rPr>
              <w:t>符合资格条件和采购需求的最低报价</w:t>
            </w:r>
          </w:p>
        </w:tc>
      </w:tr>
      <w:tr w14:paraId="6858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14:paraId="62E71725">
            <w:pPr>
              <w:rPr>
                <w:rFonts w:hint="eastAsia" w:ascii="微软雅黑" w:hAnsi="微软雅黑" w:eastAsia="微软雅黑" w:cs="微软雅黑"/>
                <w:color w:val="0070C0"/>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14:paraId="66E7A2AC">
            <w:pPr>
              <w:jc w:val="left"/>
              <w:rPr>
                <w:rFonts w:hint="eastAsia" w:ascii="微软雅黑" w:hAnsi="微软雅黑" w:eastAsia="微软雅黑" w:cs="微软雅黑"/>
                <w:color w:val="0070C0"/>
                <w:sz w:val="21"/>
                <w:szCs w:val="21"/>
              </w:rPr>
            </w:pPr>
            <w:r>
              <w:rPr>
                <w:rFonts w:hint="eastAsia" w:ascii="微软雅黑" w:hAnsi="微软雅黑" w:eastAsia="微软雅黑" w:cs="微软雅黑"/>
                <w:color w:val="0070C0"/>
                <w:kern w:val="0"/>
                <w:sz w:val="21"/>
                <w:szCs w:val="21"/>
              </w:rPr>
              <w:sym w:font="Wingdings" w:char="00A8"/>
            </w:r>
            <w:r>
              <w:rPr>
                <w:rFonts w:hint="eastAsia" w:ascii="微软雅黑" w:hAnsi="微软雅黑" w:eastAsia="微软雅黑" w:cs="微软雅黑"/>
                <w:color w:val="0070C0"/>
                <w:kern w:val="0"/>
                <w:sz w:val="21"/>
                <w:szCs w:val="21"/>
              </w:rPr>
              <w:t>其他</w:t>
            </w:r>
          </w:p>
        </w:tc>
        <w:tc>
          <w:tcPr>
            <w:tcW w:w="5767" w:type="dxa"/>
            <w:tcBorders>
              <w:top w:val="single" w:color="auto" w:sz="4" w:space="0"/>
              <w:left w:val="single" w:color="auto" w:sz="4" w:space="0"/>
              <w:bottom w:val="single" w:color="auto" w:sz="4" w:space="0"/>
              <w:right w:val="single" w:color="auto" w:sz="4" w:space="0"/>
            </w:tcBorders>
            <w:vAlign w:val="center"/>
          </w:tcPr>
          <w:p w14:paraId="7F9F3C1A">
            <w:pPr>
              <w:jc w:val="left"/>
              <w:rPr>
                <w:rFonts w:hint="eastAsia" w:ascii="微软雅黑" w:hAnsi="微软雅黑" w:eastAsia="微软雅黑" w:cs="微软雅黑"/>
                <w:color w:val="0070C0"/>
                <w:sz w:val="21"/>
                <w:szCs w:val="21"/>
              </w:rPr>
            </w:pPr>
          </w:p>
        </w:tc>
      </w:tr>
    </w:tbl>
    <w:p w14:paraId="2E36CE39">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本次采购为竞争性磋商。供应商与会代表持有效身份证件按采购文件规定的时间递交响应文件，并参加本项目采购活动。</w:t>
      </w:r>
    </w:p>
    <w:p w14:paraId="263214D0">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供应商应当在本采购文件“供应商报名须知”要求的截止时间前，将响应文件密封送达谈判会议现场。在截止时间后送达的响应文件为无效文件，采购人将拒绝接收。</w:t>
      </w:r>
    </w:p>
    <w:p w14:paraId="41EFFE75">
      <w:pPr>
        <w:widowControl/>
        <w:rPr>
          <w:rFonts w:hint="eastAsia" w:ascii="微软雅黑" w:hAnsi="微软雅黑" w:eastAsia="微软雅黑" w:cs="微软雅黑"/>
          <w:sz w:val="21"/>
          <w:szCs w:val="21"/>
        </w:rPr>
      </w:pPr>
    </w:p>
    <w:p w14:paraId="0DC9417E">
      <w:pPr>
        <w:widowControl/>
        <w:rPr>
          <w:rFonts w:hint="eastAsia" w:ascii="微软雅黑" w:hAnsi="微软雅黑" w:eastAsia="微软雅黑" w:cs="微软雅黑"/>
          <w:sz w:val="21"/>
          <w:szCs w:val="21"/>
        </w:rPr>
      </w:pPr>
    </w:p>
    <w:p w14:paraId="0E86A0DB">
      <w:pPr>
        <w:widowControl/>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br w:type="page"/>
      </w:r>
    </w:p>
    <w:p w14:paraId="215678F7">
      <w:pPr>
        <w:pStyle w:val="2"/>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合同签署</w:t>
      </w:r>
    </w:p>
    <w:p w14:paraId="3A30C831">
      <w:pPr>
        <w:widowControl/>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根据《中华人民共和国民法典》，采购人和中标人（成交供应商）之间的权利和义务，应当按照平等、自愿的原则，依据文件要求和响应文件承诺，签订合同。</w:t>
      </w:r>
    </w:p>
    <w:p w14:paraId="2C6B2131">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14:paraId="77318914">
      <w:pPr>
        <w:pStyle w:val="2"/>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14:paraId="1807A8CB">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34984F">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14:paraId="1234984F">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14:paraId="4BFDDAED">
      <w:pPr>
        <w:tabs>
          <w:tab w:val="left" w:pos="0"/>
        </w:tabs>
        <w:rPr>
          <w:rFonts w:ascii="微软雅黑" w:hAnsi="微软雅黑" w:eastAsia="微软雅黑" w:cs="微软雅黑"/>
          <w:sz w:val="28"/>
          <w:szCs w:val="28"/>
        </w:rPr>
      </w:pPr>
    </w:p>
    <w:p w14:paraId="50622064">
      <w:pPr>
        <w:pStyle w:val="12"/>
        <w:rPr>
          <w:rFonts w:ascii="仿宋" w:hAnsi="仿宋" w:eastAsia="仿宋" w:cs="微软雅黑"/>
          <w:sz w:val="28"/>
          <w:szCs w:val="28"/>
        </w:rPr>
      </w:pPr>
    </w:p>
    <w:p w14:paraId="111118B0">
      <w:pPr>
        <w:pStyle w:val="12"/>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14:paraId="135B0EE0">
      <w:pPr>
        <w:pStyle w:val="12"/>
        <w:rPr>
          <w:rFonts w:ascii="微软雅黑" w:hAnsi="微软雅黑" w:eastAsia="微软雅黑" w:cs="微软雅黑"/>
          <w:sz w:val="28"/>
          <w:szCs w:val="28"/>
        </w:rPr>
      </w:pPr>
    </w:p>
    <w:p w14:paraId="6E3C6321">
      <w:pPr>
        <w:tabs>
          <w:tab w:val="left" w:pos="0"/>
        </w:tabs>
        <w:rPr>
          <w:rFonts w:ascii="仿宋" w:hAnsi="仿宋" w:eastAsia="仿宋" w:cs="微软雅黑"/>
          <w:b/>
          <w:sz w:val="30"/>
          <w:szCs w:val="30"/>
        </w:rPr>
      </w:pPr>
    </w:p>
    <w:p w14:paraId="59C0ED33">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14:paraId="0E3B7D52">
      <w:pPr>
        <w:pStyle w:val="12"/>
        <w:rPr>
          <w:rFonts w:ascii="仿宋" w:hAnsi="仿宋" w:eastAsia="仿宋" w:cs="微软雅黑"/>
          <w:b/>
          <w:sz w:val="30"/>
          <w:szCs w:val="30"/>
        </w:rPr>
      </w:pPr>
      <w:r>
        <w:rPr>
          <w:rFonts w:hint="eastAsia" w:ascii="仿宋" w:hAnsi="仿宋" w:eastAsia="仿宋" w:cs="微软雅黑"/>
          <w:b/>
          <w:sz w:val="30"/>
          <w:szCs w:val="30"/>
        </w:rPr>
        <w:t>项目名称：</w:t>
      </w:r>
    </w:p>
    <w:p w14:paraId="558926BB">
      <w:pPr>
        <w:pStyle w:val="12"/>
        <w:rPr>
          <w:rFonts w:ascii="仿宋" w:hAnsi="仿宋" w:eastAsia="仿宋" w:cs="微软雅黑"/>
          <w:b/>
          <w:sz w:val="30"/>
          <w:szCs w:val="30"/>
        </w:rPr>
      </w:pPr>
    </w:p>
    <w:p w14:paraId="36C21A84">
      <w:pPr>
        <w:pStyle w:val="12"/>
        <w:rPr>
          <w:rFonts w:ascii="仿宋" w:hAnsi="仿宋" w:eastAsia="仿宋" w:cs="微软雅黑"/>
          <w:b/>
          <w:sz w:val="30"/>
          <w:szCs w:val="30"/>
        </w:rPr>
      </w:pPr>
    </w:p>
    <w:p w14:paraId="378947C9">
      <w:pPr>
        <w:pStyle w:val="12"/>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14:paraId="5585188A">
      <w:pPr>
        <w:pStyle w:val="12"/>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14:paraId="25CFA237">
      <w:pPr>
        <w:pStyle w:val="12"/>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14:paraId="234D1066">
      <w:pPr>
        <w:rPr>
          <w:rFonts w:hint="eastAsia"/>
          <w:lang w:val="en-US" w:eastAsia="zh-CN"/>
        </w:rPr>
      </w:pPr>
      <w:r>
        <w:rPr>
          <w:rFonts w:hint="eastAsia"/>
          <w:lang w:val="en-US" w:eastAsia="zh-CN"/>
        </w:rPr>
        <w:br w:type="page"/>
      </w:r>
    </w:p>
    <w:p w14:paraId="2C230E3D">
      <w:pPr>
        <w:rPr>
          <w:rFonts w:ascii="仿宋" w:hAnsi="仿宋" w:eastAsia="仿宋"/>
          <w:b/>
          <w:sz w:val="28"/>
          <w:szCs w:val="28"/>
        </w:rPr>
      </w:pPr>
      <w:r>
        <w:rPr>
          <w:rFonts w:hint="eastAsia" w:ascii="仿宋" w:hAnsi="仿宋" w:eastAsia="仿宋"/>
          <w:b/>
          <w:sz w:val="28"/>
          <w:szCs w:val="28"/>
        </w:rPr>
        <w:t>响应文件目录（编列要求）</w:t>
      </w:r>
    </w:p>
    <w:p w14:paraId="722DE4D4">
      <w:pPr>
        <w:pStyle w:val="12"/>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p>
    <w:tbl>
      <w:tblPr>
        <w:tblStyle w:val="9"/>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14:paraId="0237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52FEB140">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14:paraId="2533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56727D2C">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14:paraId="5D63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4E21A1B5">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14:paraId="2D18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5D196F37">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14:paraId="1307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3FEB9E52">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报价汇总表（响应院方采购文件配置需求表）</w:t>
            </w:r>
          </w:p>
        </w:tc>
      </w:tr>
      <w:tr w14:paraId="4F44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6EE1EC0F">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分项报价表（按项目性质编制）</w:t>
            </w:r>
          </w:p>
        </w:tc>
      </w:tr>
      <w:tr w14:paraId="5E58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4F12A953">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14:paraId="1702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77D91B56">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14:paraId="63B2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040F86B5">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资格证明文件（按申请人资格要求）</w:t>
            </w:r>
          </w:p>
        </w:tc>
      </w:tr>
      <w:tr w14:paraId="55F8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3B2DD426">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需求响应文件</w:t>
            </w:r>
          </w:p>
        </w:tc>
      </w:tr>
      <w:tr w14:paraId="6DB2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6C214E34">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14:paraId="486F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6CBB9E04">
            <w:pPr>
              <w:numPr>
                <w:ilvl w:val="0"/>
                <w:numId w:val="5"/>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14:paraId="1022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46FDF9BD">
            <w:pPr>
              <w:numPr>
                <w:ilvl w:val="0"/>
                <w:numId w:val="5"/>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r w14:paraId="4468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07847E89">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14:paraId="3877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5EDB84ED">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14:paraId="029E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471D9FFC">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供应商认为需要提交的其他文件</w:t>
            </w:r>
          </w:p>
        </w:tc>
      </w:tr>
    </w:tbl>
    <w:p w14:paraId="2AD477FC">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14:paraId="2ACD7E6E">
      <w:pPr>
        <w:spacing w:line="360" w:lineRule="exact"/>
        <w:outlineLvl w:val="1"/>
        <w:rPr>
          <w:rFonts w:ascii="仿宋" w:hAnsi="仿宋" w:eastAsia="仿宋" w:cs="微软雅黑"/>
          <w:b/>
          <w:sz w:val="28"/>
          <w:szCs w:val="28"/>
        </w:rPr>
      </w:pPr>
      <w:bookmarkStart w:id="1" w:name="_Toc24244"/>
      <w:bookmarkStart w:id="2" w:name="_Toc3454"/>
      <w:r>
        <w:rPr>
          <w:rFonts w:hint="eastAsia" w:ascii="仿宋" w:hAnsi="仿宋" w:eastAsia="仿宋" w:cs="微软雅黑"/>
          <w:b/>
          <w:sz w:val="28"/>
          <w:szCs w:val="28"/>
        </w:rPr>
        <w:t xml:space="preserve">格式1  </w:t>
      </w:r>
    </w:p>
    <w:p w14:paraId="2B8D0AA9">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1"/>
      <w:bookmarkEnd w:id="2"/>
    </w:p>
    <w:p w14:paraId="5E73BA0E">
      <w:pPr>
        <w:pStyle w:val="7"/>
        <w:spacing w:line="360" w:lineRule="exact"/>
        <w:rPr>
          <w:rFonts w:ascii="微软雅黑" w:hAnsi="微软雅黑" w:eastAsia="微软雅黑" w:cs="微软雅黑"/>
          <w:b/>
        </w:rPr>
      </w:pPr>
    </w:p>
    <w:p w14:paraId="645BEC7B">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p>
    <w:p w14:paraId="7CA5B5FE">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14:paraId="0E26B5D3">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14:paraId="25F4F6C6">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14:paraId="54A1BEAB">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14:paraId="07B8D056">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14:paraId="645E8BDA">
      <w:pPr>
        <w:numPr>
          <w:ilvl w:val="0"/>
          <w:numId w:val="6"/>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14:paraId="1406FB19">
      <w:pPr>
        <w:numPr>
          <w:ilvl w:val="0"/>
          <w:numId w:val="6"/>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14:paraId="6559D640">
      <w:pPr>
        <w:numPr>
          <w:ilvl w:val="0"/>
          <w:numId w:val="6"/>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14:paraId="7C88217F">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14:paraId="0BAB012B">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14:paraId="2C44290C">
      <w:pPr>
        <w:numPr>
          <w:ilvl w:val="6"/>
          <w:numId w:val="7"/>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14:paraId="539D0E27">
      <w:pPr>
        <w:numPr>
          <w:ilvl w:val="6"/>
          <w:numId w:val="7"/>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14:paraId="71B98931">
      <w:pPr>
        <w:numPr>
          <w:ilvl w:val="6"/>
          <w:numId w:val="7"/>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14:paraId="00883F9C">
      <w:pPr>
        <w:numPr>
          <w:ilvl w:val="6"/>
          <w:numId w:val="7"/>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14:paraId="1B12BD22">
      <w:pPr>
        <w:numPr>
          <w:ilvl w:val="6"/>
          <w:numId w:val="7"/>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14:paraId="46301A6F">
      <w:pPr>
        <w:numPr>
          <w:ilvl w:val="6"/>
          <w:numId w:val="7"/>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14:paraId="218C4A3D">
      <w:pPr>
        <w:autoSpaceDE w:val="0"/>
        <w:autoSpaceDN w:val="0"/>
        <w:adjustRightInd w:val="0"/>
        <w:spacing w:line="400" w:lineRule="exact"/>
        <w:ind w:firstLine="560" w:firstLineChars="200"/>
        <w:jc w:val="left"/>
        <w:rPr>
          <w:rFonts w:ascii="仿宋" w:hAnsi="仿宋" w:eastAsia="仿宋" w:cs="微软雅黑"/>
          <w:kern w:val="0"/>
          <w:sz w:val="28"/>
          <w:szCs w:val="28"/>
        </w:rPr>
      </w:pPr>
    </w:p>
    <w:p w14:paraId="4A263557">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14:paraId="267DBC67">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14:paraId="35471FD2">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14:paraId="64C3D0F5">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14:paraId="6FA7FB20">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14:paraId="55FA0FA2">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3" w:name="_Toc18591"/>
    </w:p>
    <w:p w14:paraId="511279F3">
      <w:pPr>
        <w:spacing w:line="360" w:lineRule="exact"/>
        <w:outlineLvl w:val="1"/>
        <w:rPr>
          <w:rFonts w:ascii="仿宋" w:hAnsi="仿宋" w:eastAsia="仿宋" w:cs="微软雅黑"/>
          <w:b/>
          <w:sz w:val="28"/>
          <w:szCs w:val="28"/>
        </w:rPr>
      </w:pPr>
      <w:bookmarkStart w:id="4" w:name="_Toc30139"/>
    </w:p>
    <w:p w14:paraId="08DC90EC">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14:paraId="334C9A3B">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3"/>
      <w:bookmarkEnd w:id="4"/>
    </w:p>
    <w:p w14:paraId="29DD9755">
      <w:pPr>
        <w:spacing w:line="360" w:lineRule="exact"/>
        <w:rPr>
          <w:rFonts w:ascii="微软雅黑" w:hAnsi="微软雅黑" w:eastAsia="微软雅黑" w:cs="微软雅黑"/>
          <w:kern w:val="0"/>
        </w:rPr>
      </w:pPr>
    </w:p>
    <w:p w14:paraId="1AFEEEC3">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14:paraId="5FFD238D">
      <w:pPr>
        <w:autoSpaceDE w:val="0"/>
        <w:autoSpaceDN w:val="0"/>
        <w:adjustRightInd w:val="0"/>
        <w:spacing w:line="520" w:lineRule="exact"/>
        <w:ind w:firstLine="697"/>
        <w:jc w:val="left"/>
        <w:rPr>
          <w:rFonts w:ascii="仿宋" w:hAnsi="仿宋" w:eastAsia="仿宋" w:cs="微软雅黑"/>
          <w:kern w:val="0"/>
          <w:sz w:val="28"/>
          <w:szCs w:val="28"/>
        </w:rPr>
      </w:pPr>
    </w:p>
    <w:p w14:paraId="06F0D00E">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14:paraId="25D04A1A">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14:paraId="75FB73AD">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14:paraId="76C91BDF">
      <w:pPr>
        <w:autoSpaceDE w:val="0"/>
        <w:autoSpaceDN w:val="0"/>
        <w:adjustRightInd w:val="0"/>
        <w:spacing w:line="520" w:lineRule="exact"/>
        <w:ind w:firstLine="697"/>
        <w:jc w:val="left"/>
        <w:rPr>
          <w:rFonts w:ascii="仿宋" w:hAnsi="仿宋" w:eastAsia="仿宋" w:cs="微软雅黑"/>
          <w:kern w:val="0"/>
          <w:sz w:val="28"/>
          <w:szCs w:val="28"/>
        </w:rPr>
      </w:pPr>
    </w:p>
    <w:p w14:paraId="4B800176">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14:paraId="06338343">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14:paraId="2A4511F6">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14:paraId="4FDDA2B1">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A01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14:paraId="3C4AB8E4">
            <w:pPr>
              <w:autoSpaceDE w:val="0"/>
              <w:autoSpaceDN w:val="0"/>
              <w:adjustRightInd w:val="0"/>
              <w:spacing w:line="360" w:lineRule="exact"/>
              <w:jc w:val="left"/>
              <w:rPr>
                <w:rFonts w:ascii="微软雅黑" w:hAnsi="微软雅黑" w:eastAsia="微软雅黑" w:cs="微软雅黑"/>
                <w:kern w:val="0"/>
              </w:rPr>
            </w:pPr>
          </w:p>
          <w:p w14:paraId="30C0099A">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14:paraId="34CD1155">
      <w:pPr>
        <w:rPr>
          <w:rFonts w:ascii="仿宋" w:hAnsi="仿宋" w:eastAsia="仿宋" w:cs="微软雅黑"/>
          <w:b/>
          <w:sz w:val="28"/>
          <w:szCs w:val="28"/>
        </w:rPr>
      </w:pPr>
      <w:bookmarkStart w:id="5" w:name="_Toc432149008"/>
      <w:bookmarkStart w:id="6" w:name="_Toc3488"/>
      <w:bookmarkStart w:id="7" w:name="_Toc424832832"/>
      <w:bookmarkStart w:id="8" w:name="_Toc360120184"/>
      <w:r>
        <w:rPr>
          <w:rFonts w:hint="eastAsia" w:ascii="仿宋" w:hAnsi="仿宋" w:eastAsia="仿宋" w:cs="微软雅黑"/>
          <w:b/>
          <w:sz w:val="28"/>
          <w:szCs w:val="28"/>
        </w:rPr>
        <w:br w:type="page"/>
      </w:r>
    </w:p>
    <w:p w14:paraId="2E420B6B">
      <w:pPr>
        <w:spacing w:line="360" w:lineRule="exact"/>
        <w:outlineLvl w:val="1"/>
        <w:rPr>
          <w:rFonts w:ascii="仿宋" w:hAnsi="仿宋" w:eastAsia="仿宋" w:cs="微软雅黑"/>
          <w:b/>
          <w:sz w:val="28"/>
          <w:szCs w:val="28"/>
        </w:rPr>
      </w:pPr>
      <w:bookmarkStart w:id="9" w:name="_Toc29963"/>
      <w:r>
        <w:rPr>
          <w:rFonts w:hint="eastAsia" w:ascii="仿宋" w:hAnsi="仿宋" w:eastAsia="仿宋" w:cs="微软雅黑"/>
          <w:b/>
          <w:sz w:val="28"/>
          <w:szCs w:val="28"/>
        </w:rPr>
        <w:t>格式3</w:t>
      </w:r>
    </w:p>
    <w:p w14:paraId="338C1A74">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5"/>
      <w:bookmarkEnd w:id="6"/>
      <w:bookmarkEnd w:id="7"/>
      <w:bookmarkEnd w:id="8"/>
      <w:bookmarkEnd w:id="9"/>
    </w:p>
    <w:p w14:paraId="39449F23">
      <w:pPr>
        <w:spacing w:line="360" w:lineRule="exact"/>
        <w:rPr>
          <w:rFonts w:ascii="微软雅黑" w:hAnsi="微软雅黑" w:eastAsia="微软雅黑" w:cs="微软雅黑"/>
          <w:kern w:val="0"/>
        </w:rPr>
      </w:pPr>
    </w:p>
    <w:p w14:paraId="3BFB7F53">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14:paraId="40D13F7F">
      <w:pPr>
        <w:spacing w:line="560" w:lineRule="exact"/>
        <w:ind w:firstLine="840" w:firstLineChars="300"/>
        <w:jc w:val="left"/>
        <w:rPr>
          <w:rFonts w:ascii="仿宋" w:hAnsi="仿宋" w:eastAsia="仿宋" w:cs="微软雅黑"/>
          <w:kern w:val="0"/>
          <w:sz w:val="28"/>
          <w:szCs w:val="28"/>
        </w:rPr>
      </w:pPr>
    </w:p>
    <w:p w14:paraId="13D91F26">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14:paraId="31491EA9">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14:paraId="4458B0FF">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14:paraId="73CD8A08">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14:paraId="4DA87665">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14:paraId="579CD1ED">
      <w:pPr>
        <w:autoSpaceDE w:val="0"/>
        <w:autoSpaceDN w:val="0"/>
        <w:adjustRightInd w:val="0"/>
        <w:spacing w:line="360" w:lineRule="exact"/>
        <w:rPr>
          <w:rFonts w:ascii="微软雅黑" w:hAnsi="微软雅黑" w:eastAsia="微软雅黑" w:cs="微软雅黑"/>
          <w:kern w:val="0"/>
        </w:rPr>
      </w:pPr>
    </w:p>
    <w:p w14:paraId="2BEEFF34">
      <w:pPr>
        <w:autoSpaceDE w:val="0"/>
        <w:autoSpaceDN w:val="0"/>
        <w:adjustRightInd w:val="0"/>
        <w:spacing w:line="360" w:lineRule="exact"/>
        <w:rPr>
          <w:rFonts w:ascii="微软雅黑" w:hAnsi="微软雅黑" w:eastAsia="微软雅黑" w:cs="微软雅黑"/>
          <w:kern w:val="0"/>
        </w:rPr>
      </w:pPr>
    </w:p>
    <w:p w14:paraId="2C77008D">
      <w:pPr>
        <w:autoSpaceDE w:val="0"/>
        <w:autoSpaceDN w:val="0"/>
        <w:adjustRightInd w:val="0"/>
        <w:spacing w:line="360" w:lineRule="exact"/>
        <w:rPr>
          <w:rFonts w:ascii="微软雅黑" w:hAnsi="微软雅黑" w:eastAsia="微软雅黑" w:cs="微软雅黑"/>
          <w:kern w:val="0"/>
        </w:rPr>
      </w:pP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43CA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14:paraId="5AF1DC59">
            <w:pPr>
              <w:spacing w:line="360" w:lineRule="exact"/>
              <w:rPr>
                <w:rFonts w:ascii="微软雅黑" w:hAnsi="微软雅黑" w:eastAsia="微软雅黑" w:cs="微软雅黑"/>
                <w:kern w:val="0"/>
              </w:rPr>
            </w:pPr>
          </w:p>
          <w:p w14:paraId="27F281B0">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14:paraId="6493BBDA">
            <w:pPr>
              <w:spacing w:line="360" w:lineRule="exact"/>
              <w:rPr>
                <w:rFonts w:ascii="微软雅黑" w:hAnsi="微软雅黑" w:eastAsia="微软雅黑" w:cs="微软雅黑"/>
                <w:kern w:val="0"/>
              </w:rPr>
            </w:pPr>
          </w:p>
        </w:tc>
      </w:tr>
    </w:tbl>
    <w:p w14:paraId="17648460">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14:paraId="25EE4027">
      <w:pPr>
        <w:numPr>
          <w:ilvl w:val="1"/>
          <w:numId w:val="8"/>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14:paraId="4FC7BB35">
      <w:pPr>
        <w:numPr>
          <w:ilvl w:val="1"/>
          <w:numId w:val="8"/>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0" w:name="_Toc22174"/>
    </w:p>
    <w:p w14:paraId="0ADB17CF">
      <w:pPr>
        <w:rPr>
          <w:rFonts w:ascii="仿宋" w:hAnsi="仿宋" w:eastAsia="仿宋" w:cs="微软雅黑"/>
          <w:b/>
          <w:sz w:val="24"/>
          <w:szCs w:val="24"/>
        </w:rPr>
      </w:pPr>
      <w:r>
        <w:rPr>
          <w:rFonts w:hint="eastAsia" w:ascii="仿宋" w:hAnsi="仿宋" w:eastAsia="仿宋" w:cs="微软雅黑"/>
          <w:b/>
          <w:sz w:val="24"/>
          <w:szCs w:val="24"/>
        </w:rPr>
        <w:br w:type="page"/>
      </w:r>
    </w:p>
    <w:p w14:paraId="48AE712A">
      <w:pPr>
        <w:spacing w:line="360" w:lineRule="exact"/>
        <w:outlineLvl w:val="1"/>
        <w:rPr>
          <w:rFonts w:ascii="仿宋" w:hAnsi="仿宋" w:eastAsia="仿宋" w:cs="微软雅黑"/>
          <w:b/>
          <w:sz w:val="28"/>
          <w:szCs w:val="28"/>
        </w:rPr>
      </w:pPr>
      <w:bookmarkStart w:id="11" w:name="_Toc24864"/>
      <w:r>
        <w:rPr>
          <w:rFonts w:hint="eastAsia" w:ascii="仿宋" w:hAnsi="仿宋" w:eastAsia="仿宋" w:cs="微软雅黑"/>
          <w:b/>
          <w:sz w:val="28"/>
          <w:szCs w:val="28"/>
        </w:rPr>
        <w:t>格式4</w:t>
      </w:r>
    </w:p>
    <w:p w14:paraId="5A1892EB">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14:paraId="2D003FDC">
      <w:pPr>
        <w:spacing w:line="360" w:lineRule="exact"/>
        <w:outlineLvl w:val="1"/>
        <w:rPr>
          <w:rFonts w:ascii="仿宋" w:hAnsi="仿宋" w:eastAsia="仿宋" w:cs="微软雅黑"/>
          <w:b/>
          <w:sz w:val="28"/>
          <w:szCs w:val="28"/>
        </w:rPr>
      </w:pPr>
    </w:p>
    <w:bookmarkEnd w:id="10"/>
    <w:bookmarkEnd w:id="11"/>
    <w:p w14:paraId="3DBEB300">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14:paraId="5345FA14">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8"/>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14:paraId="2029E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2A467495">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14:paraId="3ADE2E19">
            <w:pPr>
              <w:spacing w:line="360" w:lineRule="exact"/>
              <w:jc w:val="center"/>
              <w:rPr>
                <w:rFonts w:ascii="仿宋" w:hAnsi="仿宋" w:eastAsia="仿宋" w:cs="微软雅黑"/>
                <w:sz w:val="28"/>
                <w:szCs w:val="28"/>
              </w:rPr>
            </w:pPr>
          </w:p>
        </w:tc>
      </w:tr>
      <w:tr w14:paraId="08217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380952AE">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14:paraId="19F03B15">
            <w:pPr>
              <w:spacing w:line="360" w:lineRule="exact"/>
              <w:jc w:val="center"/>
              <w:rPr>
                <w:rFonts w:ascii="仿宋" w:hAnsi="仿宋" w:eastAsia="仿宋" w:cs="微软雅黑"/>
                <w:sz w:val="28"/>
                <w:szCs w:val="28"/>
              </w:rPr>
            </w:pPr>
          </w:p>
        </w:tc>
      </w:tr>
      <w:tr w14:paraId="08E2A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107FB36E">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14:paraId="1E5EA76A">
            <w:pPr>
              <w:spacing w:line="360" w:lineRule="exact"/>
              <w:rPr>
                <w:rFonts w:ascii="仿宋" w:hAnsi="仿宋" w:eastAsia="仿宋" w:cs="微软雅黑"/>
                <w:sz w:val="28"/>
                <w:szCs w:val="28"/>
              </w:rPr>
            </w:pPr>
          </w:p>
        </w:tc>
      </w:tr>
      <w:tr w14:paraId="4704E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56C3F047">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14:paraId="42472181">
            <w:pPr>
              <w:spacing w:line="360" w:lineRule="exact"/>
              <w:rPr>
                <w:rFonts w:ascii="仿宋" w:hAnsi="仿宋" w:eastAsia="仿宋" w:cs="微软雅黑"/>
                <w:sz w:val="28"/>
                <w:szCs w:val="28"/>
              </w:rPr>
            </w:pPr>
          </w:p>
        </w:tc>
      </w:tr>
      <w:tr w14:paraId="109A2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2EC6CE5A">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14:paraId="66F28EB9">
            <w:pPr>
              <w:spacing w:line="360" w:lineRule="exact"/>
              <w:rPr>
                <w:rFonts w:ascii="仿宋" w:hAnsi="仿宋" w:eastAsia="仿宋" w:cs="微软雅黑"/>
                <w:sz w:val="28"/>
                <w:szCs w:val="28"/>
              </w:rPr>
            </w:pPr>
          </w:p>
        </w:tc>
      </w:tr>
      <w:tr w14:paraId="4F3CD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19482762">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14:paraId="705389C8">
            <w:pPr>
              <w:spacing w:line="360" w:lineRule="exact"/>
              <w:rPr>
                <w:rFonts w:ascii="仿宋" w:hAnsi="仿宋" w:eastAsia="仿宋" w:cs="微软雅黑"/>
                <w:sz w:val="28"/>
                <w:szCs w:val="28"/>
              </w:rPr>
            </w:pPr>
          </w:p>
        </w:tc>
      </w:tr>
      <w:tr w14:paraId="24182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1C38DD36">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14:paraId="1F8B8D13">
            <w:pPr>
              <w:spacing w:line="360" w:lineRule="exact"/>
              <w:rPr>
                <w:rFonts w:ascii="仿宋" w:hAnsi="仿宋" w:eastAsia="仿宋" w:cs="微软雅黑"/>
                <w:sz w:val="28"/>
                <w:szCs w:val="28"/>
              </w:rPr>
            </w:pPr>
          </w:p>
        </w:tc>
      </w:tr>
      <w:tr w14:paraId="7156C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2D01B552">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14:paraId="7D22E55A">
            <w:pPr>
              <w:spacing w:line="360" w:lineRule="exact"/>
              <w:rPr>
                <w:rFonts w:ascii="仿宋" w:hAnsi="仿宋" w:eastAsia="仿宋" w:cs="微软雅黑"/>
                <w:sz w:val="28"/>
                <w:szCs w:val="28"/>
              </w:rPr>
            </w:pPr>
          </w:p>
        </w:tc>
      </w:tr>
    </w:tbl>
    <w:p w14:paraId="20E8DCDB">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14:paraId="1B3DBA28">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14:paraId="15D27C0E">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14:paraId="51D999AB">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14:paraId="0F21FAB0">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14:paraId="038B0782">
      <w:pPr>
        <w:spacing w:line="560" w:lineRule="exact"/>
        <w:rPr>
          <w:rFonts w:ascii="仿宋" w:hAnsi="仿宋" w:eastAsia="仿宋" w:cs="微软雅黑"/>
          <w:b/>
          <w:sz w:val="28"/>
          <w:szCs w:val="28"/>
        </w:rPr>
      </w:pPr>
      <w:bookmarkStart w:id="12" w:name="_Toc529"/>
      <w:r>
        <w:rPr>
          <w:rFonts w:hint="eastAsia" w:ascii="仿宋" w:hAnsi="仿宋" w:eastAsia="仿宋" w:cs="微软雅黑"/>
          <w:b/>
          <w:sz w:val="28"/>
          <w:szCs w:val="28"/>
        </w:rPr>
        <w:br w:type="page"/>
      </w:r>
    </w:p>
    <w:bookmarkEnd w:id="12"/>
    <w:p w14:paraId="39F9FF47">
      <w:pPr>
        <w:pStyle w:val="2"/>
        <w:adjustRightInd w:val="0"/>
        <w:snapToGrid w:val="0"/>
        <w:spacing w:before="0" w:after="0" w:line="240" w:lineRule="auto"/>
        <w:jc w:val="left"/>
        <w:rPr>
          <w:rFonts w:ascii="仿宋_GB2312" w:hAnsi="仿宋_GB2312" w:eastAsia="仿宋_GB2312" w:cs="仿宋_GB2312"/>
          <w:szCs w:val="28"/>
        </w:rPr>
      </w:pPr>
      <w:bookmarkStart w:id="13" w:name="_Toc3160"/>
      <w:r>
        <w:rPr>
          <w:rFonts w:hint="eastAsia" w:ascii="仿宋_GB2312" w:hAnsi="仿宋_GB2312" w:eastAsia="仿宋_GB2312" w:cs="仿宋_GB2312"/>
          <w:szCs w:val="28"/>
        </w:rPr>
        <w:t>格式5</w:t>
      </w:r>
    </w:p>
    <w:p w14:paraId="041FDF9E">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14" w:name="_Toc28271_WPSOffice_Level2"/>
      <w:bookmarkStart w:id="15" w:name="_Toc16044_WPSOffice_Level2"/>
      <w:r>
        <w:rPr>
          <w:rFonts w:hint="eastAsia" w:ascii="仿宋_GB2312" w:hAnsi="仿宋_GB2312" w:eastAsia="仿宋_GB2312" w:cs="仿宋_GB2312"/>
          <w:b/>
          <w:bCs/>
          <w:sz w:val="28"/>
          <w:szCs w:val="28"/>
        </w:rPr>
        <w:t>分项报价表</w:t>
      </w:r>
      <w:bookmarkEnd w:id="14"/>
      <w:bookmarkEnd w:id="15"/>
    </w:p>
    <w:p w14:paraId="321B1D0A">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8"/>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14:paraId="5650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14:paraId="1F36794F">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14:paraId="56B6DCAE">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14:paraId="194E35A4">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14:paraId="0DA83FF2">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14:paraId="3B03D130">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14:paraId="6C78DEFF">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14:paraId="0B1A72A6">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14:paraId="721EAD42">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14:paraId="1DCF8896">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191B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14:paraId="36D8417B">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14:paraId="2BAC7A59">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14:paraId="47DE38DB">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14:paraId="4922036E">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14:paraId="0094E277">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14:paraId="498F9725">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14:paraId="630D519E">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14:paraId="38E5045C">
            <w:pPr>
              <w:adjustRightInd w:val="0"/>
              <w:snapToGrid w:val="0"/>
              <w:ind w:left="-97" w:leftChars="-46" w:right="-63" w:rightChars="-30"/>
              <w:jc w:val="center"/>
              <w:rPr>
                <w:rFonts w:ascii="仿宋_GB2312" w:hAnsi="仿宋_GB2312" w:eastAsia="仿宋_GB2312" w:cs="仿宋_GB2312"/>
                <w:sz w:val="28"/>
                <w:szCs w:val="28"/>
              </w:rPr>
            </w:pPr>
          </w:p>
        </w:tc>
      </w:tr>
      <w:tr w14:paraId="27D1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14:paraId="39E99840">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14:paraId="5290A0E8">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14:paraId="4F888FE3">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14:paraId="4A0BDF99">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14:paraId="00E13A19">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14:paraId="04A0F314">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14:paraId="0C90F04A">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14:paraId="3C0043B3">
            <w:pPr>
              <w:adjustRightInd w:val="0"/>
              <w:snapToGrid w:val="0"/>
              <w:ind w:left="-97" w:leftChars="-46" w:right="-63" w:rightChars="-30"/>
              <w:jc w:val="center"/>
              <w:rPr>
                <w:rFonts w:ascii="仿宋_GB2312" w:hAnsi="仿宋_GB2312" w:eastAsia="仿宋_GB2312" w:cs="仿宋_GB2312"/>
                <w:sz w:val="28"/>
                <w:szCs w:val="28"/>
              </w:rPr>
            </w:pPr>
          </w:p>
        </w:tc>
      </w:tr>
      <w:tr w14:paraId="7A63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14:paraId="108D0150">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14:paraId="2D915AE0">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14:paraId="425B35A9">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14:paraId="2B9B1745">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14:paraId="19967D55">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14:paraId="2647FB68">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14:paraId="7236DCE4">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14:paraId="035D9852">
            <w:pPr>
              <w:adjustRightInd w:val="0"/>
              <w:snapToGrid w:val="0"/>
              <w:ind w:left="-97" w:leftChars="-46" w:right="-63" w:rightChars="-30"/>
              <w:jc w:val="center"/>
              <w:rPr>
                <w:rFonts w:ascii="仿宋_GB2312" w:hAnsi="仿宋_GB2312" w:eastAsia="仿宋_GB2312" w:cs="仿宋_GB2312"/>
                <w:sz w:val="28"/>
                <w:szCs w:val="28"/>
              </w:rPr>
            </w:pPr>
          </w:p>
        </w:tc>
      </w:tr>
      <w:tr w14:paraId="0ED8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14:paraId="20044427">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14:paraId="1492B6A6">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14:paraId="3F74A16E">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14:paraId="39266C81">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14:paraId="5B81497F">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14:paraId="063DE70A">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14:paraId="2B362BA8">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14:paraId="631C0168">
            <w:pPr>
              <w:adjustRightInd w:val="0"/>
              <w:snapToGrid w:val="0"/>
              <w:ind w:left="-97" w:leftChars="-46" w:right="-63" w:rightChars="-30"/>
              <w:jc w:val="center"/>
              <w:rPr>
                <w:rFonts w:ascii="仿宋_GB2312" w:hAnsi="仿宋_GB2312" w:eastAsia="仿宋_GB2312" w:cs="仿宋_GB2312"/>
                <w:sz w:val="28"/>
                <w:szCs w:val="28"/>
              </w:rPr>
            </w:pPr>
          </w:p>
        </w:tc>
      </w:tr>
      <w:tr w14:paraId="185D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14:paraId="65825EAA">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14:paraId="3B4D97CB">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14:paraId="0E30B12E">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14:paraId="5CAEFCEE">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14:paraId="696DA0E0">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14:paraId="7E5A1E92">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14:paraId="156858A1">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14:paraId="6640EC05">
            <w:pPr>
              <w:adjustRightInd w:val="0"/>
              <w:snapToGrid w:val="0"/>
              <w:ind w:left="-97" w:leftChars="-46" w:right="-63" w:rightChars="-30"/>
              <w:jc w:val="center"/>
              <w:rPr>
                <w:rFonts w:ascii="仿宋_GB2312" w:hAnsi="仿宋_GB2312" w:eastAsia="仿宋_GB2312" w:cs="仿宋_GB2312"/>
                <w:sz w:val="28"/>
                <w:szCs w:val="28"/>
              </w:rPr>
            </w:pPr>
          </w:p>
        </w:tc>
      </w:tr>
      <w:tr w14:paraId="6F99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14:paraId="51FE05A7">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14:paraId="1FA299D1">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14:paraId="7028D158">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14:paraId="5FAA1AC1">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14:paraId="5BF5CE8A">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14:paraId="1175FC4B">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14:paraId="66437CD9">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14:paraId="64AB23D3">
            <w:pPr>
              <w:adjustRightInd w:val="0"/>
              <w:snapToGrid w:val="0"/>
              <w:ind w:left="-97" w:leftChars="-46" w:right="-63" w:rightChars="-30"/>
              <w:jc w:val="center"/>
              <w:rPr>
                <w:rFonts w:ascii="仿宋_GB2312" w:hAnsi="仿宋_GB2312" w:eastAsia="仿宋_GB2312" w:cs="仿宋_GB2312"/>
                <w:sz w:val="28"/>
                <w:szCs w:val="28"/>
              </w:rPr>
            </w:pPr>
          </w:p>
        </w:tc>
      </w:tr>
      <w:tr w14:paraId="1DF7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14:paraId="66F9A37A">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14:paraId="2C777421">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14:paraId="5808C189">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14:paraId="4E0591D8">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14:paraId="1A96E1E2">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14:paraId="255DB4EE">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14:paraId="08FA8C91">
            <w:pPr>
              <w:adjustRightInd w:val="0"/>
              <w:snapToGrid w:val="0"/>
              <w:ind w:right="105" w:rightChars="50"/>
              <w:jc w:val="center"/>
              <w:rPr>
                <w:rFonts w:ascii="仿宋_GB2312" w:hAnsi="仿宋_GB2312" w:eastAsia="仿宋_GB2312" w:cs="仿宋_GB2312"/>
                <w:sz w:val="28"/>
                <w:szCs w:val="28"/>
              </w:rPr>
            </w:pPr>
          </w:p>
        </w:tc>
      </w:tr>
    </w:tbl>
    <w:p w14:paraId="61951F7E">
      <w:pPr>
        <w:adjustRightInd w:val="0"/>
        <w:snapToGrid w:val="0"/>
        <w:spacing w:line="360" w:lineRule="auto"/>
        <w:ind w:right="105" w:rightChars="50"/>
        <w:jc w:val="left"/>
        <w:rPr>
          <w:rFonts w:ascii="仿宋_GB2312" w:hAnsi="仿宋_GB2312" w:eastAsia="仿宋_GB2312" w:cs="仿宋_GB2312"/>
        </w:rPr>
      </w:pPr>
    </w:p>
    <w:p w14:paraId="5667DC96">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14:paraId="27093BF0">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14:paraId="458768A7">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14:paraId="4180061C">
      <w:pPr>
        <w:adjustRightInd w:val="0"/>
        <w:snapToGrid w:val="0"/>
        <w:spacing w:line="360" w:lineRule="auto"/>
        <w:ind w:right="105" w:rightChars="50"/>
        <w:jc w:val="left"/>
        <w:rPr>
          <w:rFonts w:ascii="仿宋_GB2312" w:hAnsi="仿宋_GB2312" w:eastAsia="仿宋_GB2312" w:cs="仿宋_GB2312"/>
        </w:rPr>
      </w:pPr>
    </w:p>
    <w:p w14:paraId="7C9AFDAA">
      <w:pPr>
        <w:adjustRightInd w:val="0"/>
        <w:snapToGrid w:val="0"/>
        <w:spacing w:line="360" w:lineRule="auto"/>
        <w:ind w:right="105" w:rightChars="50"/>
        <w:jc w:val="left"/>
        <w:rPr>
          <w:rFonts w:ascii="仿宋_GB2312" w:hAnsi="仿宋_GB2312" w:eastAsia="仿宋_GB2312" w:cs="仿宋_GB2312"/>
        </w:rPr>
      </w:pPr>
    </w:p>
    <w:p w14:paraId="6E06E4D8">
      <w:pPr>
        <w:adjustRightInd w:val="0"/>
        <w:snapToGrid w:val="0"/>
        <w:spacing w:line="360" w:lineRule="auto"/>
        <w:ind w:right="105" w:rightChars="50"/>
        <w:jc w:val="left"/>
        <w:rPr>
          <w:rFonts w:ascii="仿宋_GB2312" w:hAnsi="仿宋_GB2312" w:eastAsia="仿宋_GB2312" w:cs="仿宋_GB2312"/>
          <w:sz w:val="28"/>
          <w:szCs w:val="28"/>
        </w:rPr>
      </w:pPr>
    </w:p>
    <w:p w14:paraId="3E1B39B6">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14:paraId="2575634B">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14:paraId="5F885F5E">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14:paraId="1A602477">
      <w:pPr>
        <w:spacing w:line="560" w:lineRule="exact"/>
        <w:outlineLvl w:val="1"/>
        <w:rPr>
          <w:rFonts w:ascii="仿宋" w:hAnsi="仿宋" w:eastAsia="仿宋" w:cs="微软雅黑"/>
          <w:b/>
          <w:sz w:val="28"/>
          <w:szCs w:val="28"/>
        </w:rPr>
      </w:pPr>
    </w:p>
    <w:p w14:paraId="639AFCAF">
      <w:pPr>
        <w:spacing w:line="560" w:lineRule="exact"/>
        <w:outlineLvl w:val="1"/>
        <w:rPr>
          <w:rFonts w:ascii="仿宋" w:hAnsi="仿宋" w:eastAsia="仿宋" w:cs="微软雅黑"/>
          <w:b/>
          <w:sz w:val="28"/>
          <w:szCs w:val="28"/>
        </w:rPr>
      </w:pPr>
    </w:p>
    <w:p w14:paraId="39FA7FFF">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13"/>
    </w:p>
    <w:p w14:paraId="1B66C689">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14:paraId="54BC6625">
      <w:pPr>
        <w:spacing w:line="560" w:lineRule="exact"/>
        <w:outlineLvl w:val="1"/>
        <w:rPr>
          <w:rFonts w:ascii="仿宋" w:hAnsi="仿宋" w:eastAsia="仿宋" w:cs="微软雅黑"/>
          <w:b/>
          <w:sz w:val="28"/>
          <w:szCs w:val="28"/>
        </w:rPr>
      </w:pPr>
      <w:bookmarkStart w:id="16" w:name="_Toc11910"/>
      <w:r>
        <w:rPr>
          <w:rFonts w:hint="eastAsia" w:ascii="仿宋" w:hAnsi="仿宋" w:eastAsia="仿宋" w:cs="微软雅黑"/>
          <w:b/>
          <w:sz w:val="28"/>
          <w:szCs w:val="28"/>
        </w:rPr>
        <w:t>格式7需求响应文件</w:t>
      </w:r>
      <w:bookmarkEnd w:id="16"/>
    </w:p>
    <w:p w14:paraId="0D660C12">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14:paraId="659BB952">
      <w:pPr>
        <w:spacing w:line="560" w:lineRule="exact"/>
        <w:outlineLvl w:val="1"/>
        <w:rPr>
          <w:rFonts w:ascii="仿宋" w:hAnsi="仿宋" w:eastAsia="仿宋" w:cs="微软雅黑"/>
          <w:b/>
          <w:sz w:val="28"/>
          <w:szCs w:val="28"/>
        </w:rPr>
      </w:pPr>
      <w:bookmarkStart w:id="17" w:name="_Toc11253"/>
      <w:r>
        <w:rPr>
          <w:rFonts w:hint="eastAsia" w:ascii="仿宋" w:hAnsi="仿宋" w:eastAsia="仿宋" w:cs="微软雅黑"/>
          <w:b/>
          <w:sz w:val="28"/>
          <w:szCs w:val="28"/>
        </w:rPr>
        <w:t>格式8评审办法响应文件</w:t>
      </w:r>
      <w:bookmarkEnd w:id="17"/>
    </w:p>
    <w:p w14:paraId="0F99AEF3">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14:paraId="0E081BE0">
      <w:pPr>
        <w:spacing w:line="560" w:lineRule="exact"/>
        <w:rPr>
          <w:rFonts w:ascii="仿宋" w:hAnsi="仿宋" w:eastAsia="仿宋" w:cs="微软雅黑"/>
          <w:b/>
          <w:sz w:val="28"/>
          <w:szCs w:val="28"/>
        </w:rPr>
      </w:pPr>
      <w:bookmarkStart w:id="18" w:name="_Toc7229"/>
      <w:bookmarkStart w:id="19" w:name="_Toc476839034"/>
      <w:bookmarkStart w:id="20" w:name="_Toc4730"/>
      <w:r>
        <w:rPr>
          <w:rFonts w:hint="eastAsia" w:ascii="仿宋" w:hAnsi="仿宋" w:eastAsia="仿宋" w:cs="微软雅黑"/>
          <w:b/>
          <w:sz w:val="28"/>
          <w:szCs w:val="28"/>
        </w:rPr>
        <w:br w:type="page"/>
      </w:r>
    </w:p>
    <w:p w14:paraId="36CB6B47">
      <w:pPr>
        <w:spacing w:line="360" w:lineRule="exact"/>
        <w:outlineLvl w:val="1"/>
        <w:rPr>
          <w:rFonts w:ascii="仿宋" w:hAnsi="仿宋" w:eastAsia="仿宋" w:cs="微软雅黑"/>
          <w:b/>
          <w:sz w:val="28"/>
          <w:szCs w:val="28"/>
        </w:rPr>
      </w:pPr>
      <w:bookmarkStart w:id="21" w:name="_Toc25904"/>
      <w:r>
        <w:rPr>
          <w:rFonts w:hint="eastAsia" w:ascii="仿宋" w:hAnsi="仿宋" w:eastAsia="仿宋" w:cs="微软雅黑"/>
          <w:b/>
          <w:sz w:val="28"/>
          <w:szCs w:val="28"/>
        </w:rPr>
        <w:t>格式9</w:t>
      </w:r>
    </w:p>
    <w:p w14:paraId="71B62579">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18"/>
      <w:bookmarkEnd w:id="19"/>
      <w:bookmarkEnd w:id="20"/>
      <w:bookmarkEnd w:id="21"/>
    </w:p>
    <w:p w14:paraId="653E5BA5">
      <w:pPr>
        <w:spacing w:line="360" w:lineRule="exact"/>
        <w:rPr>
          <w:rFonts w:ascii="华文中宋" w:hAnsi="华文中宋" w:eastAsia="华文中宋" w:cs="微软雅黑"/>
          <w:kern w:val="0"/>
          <w:sz w:val="24"/>
        </w:rPr>
      </w:pPr>
    </w:p>
    <w:p w14:paraId="12661DA4">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p>
    <w:p w14:paraId="04006640">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14:paraId="3717769A">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14:paraId="19BB5C0B">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14:paraId="3C367982">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14:paraId="117040C0">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14:paraId="0C0AF83A">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14:paraId="11FEE96C">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14:paraId="1A49FD78">
      <w:pPr>
        <w:spacing w:line="560" w:lineRule="exact"/>
        <w:rPr>
          <w:rFonts w:ascii="仿宋" w:hAnsi="仿宋" w:eastAsia="仿宋" w:cs="微软雅黑"/>
          <w:sz w:val="28"/>
          <w:szCs w:val="28"/>
        </w:rPr>
      </w:pPr>
    </w:p>
    <w:p w14:paraId="7AD8153D">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14:paraId="6051FA30">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14:paraId="09FD2094">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14:paraId="3144F858">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14:paraId="644A1FA4">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14:paraId="795D1E0A">
      <w:pPr>
        <w:spacing w:line="360" w:lineRule="exact"/>
        <w:outlineLvl w:val="1"/>
        <w:rPr>
          <w:rFonts w:ascii="仿宋" w:hAnsi="仿宋" w:eastAsia="仿宋" w:cs="微软雅黑"/>
          <w:b/>
          <w:sz w:val="28"/>
          <w:szCs w:val="28"/>
        </w:rPr>
      </w:pPr>
      <w:bookmarkStart w:id="22" w:name="_Toc19613"/>
      <w:r>
        <w:rPr>
          <w:rFonts w:hint="eastAsia" w:ascii="仿宋" w:hAnsi="仿宋" w:eastAsia="仿宋" w:cs="微软雅黑"/>
          <w:b/>
          <w:sz w:val="28"/>
          <w:szCs w:val="28"/>
        </w:rPr>
        <w:t>格式10</w:t>
      </w:r>
    </w:p>
    <w:p w14:paraId="2583225D">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2"/>
    </w:p>
    <w:p w14:paraId="578B4538">
      <w:pPr>
        <w:jc w:val="center"/>
        <w:rPr>
          <w:rFonts w:ascii="宋体" w:hAnsi="宋体"/>
          <w:b/>
          <w:sz w:val="28"/>
          <w:szCs w:val="28"/>
        </w:rPr>
      </w:pPr>
    </w:p>
    <w:p w14:paraId="70748796">
      <w:pPr>
        <w:pStyle w:val="13"/>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14:paraId="5D71EAE0">
      <w:pPr>
        <w:pStyle w:val="13"/>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14:paraId="759BE944">
      <w:pPr>
        <w:pStyle w:val="13"/>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14:paraId="514C23A0">
      <w:pPr>
        <w:pStyle w:val="13"/>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14:paraId="0421E817">
      <w:pPr>
        <w:pStyle w:val="13"/>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14:paraId="0F7DFD91">
      <w:pPr>
        <w:tabs>
          <w:tab w:val="left" w:pos="854"/>
        </w:tabs>
        <w:spacing w:line="360" w:lineRule="auto"/>
        <w:rPr>
          <w:rFonts w:ascii="仿宋" w:hAnsi="仿宋" w:eastAsia="仿宋"/>
          <w:bCs/>
          <w:sz w:val="28"/>
          <w:szCs w:val="28"/>
        </w:rPr>
      </w:pPr>
    </w:p>
    <w:p w14:paraId="7FAFCFFF">
      <w:pPr>
        <w:tabs>
          <w:tab w:val="left" w:pos="854"/>
        </w:tabs>
        <w:spacing w:line="360" w:lineRule="auto"/>
        <w:rPr>
          <w:rFonts w:ascii="仿宋" w:hAnsi="仿宋" w:eastAsia="仿宋"/>
          <w:bCs/>
          <w:sz w:val="28"/>
          <w:szCs w:val="28"/>
        </w:rPr>
      </w:pPr>
    </w:p>
    <w:p w14:paraId="0E3096C4">
      <w:pPr>
        <w:pStyle w:val="12"/>
      </w:pPr>
    </w:p>
    <w:p w14:paraId="3865F72A">
      <w:pPr>
        <w:pStyle w:val="12"/>
      </w:pPr>
    </w:p>
    <w:p w14:paraId="163B02D5">
      <w:pPr>
        <w:pStyle w:val="13"/>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14:paraId="7A7A63EE">
      <w:pPr>
        <w:spacing w:line="500" w:lineRule="exact"/>
        <w:ind w:firstLine="720"/>
        <w:rPr>
          <w:rFonts w:ascii="仿宋" w:hAnsi="仿宋" w:eastAsia="仿宋"/>
          <w:kern w:val="0"/>
          <w:sz w:val="28"/>
          <w:szCs w:val="28"/>
        </w:rPr>
      </w:pPr>
    </w:p>
    <w:p w14:paraId="1DBAD032">
      <w:pPr>
        <w:pStyle w:val="13"/>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14:paraId="7662B8D1">
      <w:pPr>
        <w:pStyle w:val="13"/>
        <w:spacing w:before="0" w:after="0" w:line="240" w:lineRule="auto"/>
        <w:ind w:left="1070" w:hanging="1069" w:hangingChars="382"/>
        <w:jc w:val="left"/>
        <w:rPr>
          <w:rFonts w:ascii="仿宋" w:hAnsi="仿宋" w:eastAsia="仿宋"/>
          <w:kern w:val="0"/>
          <w:szCs w:val="28"/>
        </w:rPr>
      </w:pPr>
    </w:p>
    <w:p w14:paraId="5E0AF144">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14:paraId="4AF965D2">
      <w:pPr>
        <w:tabs>
          <w:tab w:val="left" w:pos="540"/>
        </w:tabs>
        <w:autoSpaceDE w:val="0"/>
        <w:autoSpaceDN w:val="0"/>
        <w:adjustRightInd w:val="0"/>
        <w:spacing w:line="360" w:lineRule="exact"/>
        <w:rPr>
          <w:b/>
          <w:sz w:val="28"/>
          <w:szCs w:val="28"/>
        </w:rPr>
      </w:pPr>
    </w:p>
    <w:p w14:paraId="167E910F">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14:paraId="30ED52D7">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14:paraId="1014EEDA">
      <w:pPr>
        <w:topLinePunct/>
        <w:snapToGrid w:val="0"/>
        <w:spacing w:line="240" w:lineRule="auto"/>
        <w:rPr>
          <w:rFonts w:hint="eastAsia" w:ascii="仿宋" w:hAnsi="仿宋" w:eastAsia="仿宋" w:cs="仿宋"/>
          <w:b w:val="0"/>
          <w:bCs/>
          <w:color w:val="000000"/>
          <w:sz w:val="28"/>
          <w:szCs w:val="28"/>
        </w:rPr>
      </w:pPr>
    </w:p>
    <w:p w14:paraId="01B615F3">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14:paraId="3A60DDC0">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14:paraId="138309A1">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14:paraId="19AB58C9">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14:paraId="2CFA30E8">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14:paraId="7A5B40F3">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14:paraId="6648504E">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14:paraId="217D64E1">
      <w:pPr>
        <w:snapToGrid w:val="0"/>
        <w:spacing w:line="240" w:lineRule="auto"/>
        <w:ind w:firstLine="1120" w:firstLineChars="400"/>
        <w:rPr>
          <w:rFonts w:hint="eastAsia" w:ascii="仿宋" w:hAnsi="仿宋" w:eastAsia="仿宋" w:cs="仿宋"/>
          <w:b w:val="0"/>
          <w:bCs/>
          <w:color w:val="0000FF"/>
          <w:sz w:val="28"/>
          <w:szCs w:val="28"/>
        </w:rPr>
      </w:pPr>
    </w:p>
    <w:p w14:paraId="738037FC">
      <w:pPr>
        <w:pStyle w:val="11"/>
        <w:spacing w:line="240" w:lineRule="auto"/>
        <w:rPr>
          <w:rFonts w:hint="eastAsia" w:ascii="仿宋" w:hAnsi="仿宋" w:eastAsia="仿宋" w:cs="仿宋"/>
          <w:b w:val="0"/>
          <w:bCs/>
          <w:sz w:val="28"/>
          <w:szCs w:val="28"/>
        </w:rPr>
      </w:pPr>
    </w:p>
    <w:p w14:paraId="62B25290">
      <w:pPr>
        <w:snapToGrid w:val="0"/>
        <w:spacing w:line="240" w:lineRule="auto"/>
        <w:ind w:firstLine="1120" w:firstLineChars="400"/>
        <w:rPr>
          <w:rFonts w:hint="eastAsia" w:ascii="仿宋" w:hAnsi="仿宋" w:eastAsia="仿宋" w:cs="仿宋"/>
          <w:b w:val="0"/>
          <w:bCs/>
          <w:color w:val="0000FF"/>
          <w:sz w:val="28"/>
          <w:szCs w:val="28"/>
        </w:rPr>
      </w:pPr>
    </w:p>
    <w:p w14:paraId="497FB292">
      <w:pPr>
        <w:snapToGrid w:val="0"/>
        <w:spacing w:line="240" w:lineRule="auto"/>
        <w:ind w:firstLine="1120" w:firstLineChars="400"/>
        <w:rPr>
          <w:rFonts w:hint="eastAsia" w:ascii="仿宋" w:hAnsi="仿宋" w:eastAsia="仿宋" w:cs="仿宋"/>
          <w:b w:val="0"/>
          <w:bCs/>
          <w:sz w:val="28"/>
          <w:szCs w:val="28"/>
        </w:rPr>
      </w:pPr>
    </w:p>
    <w:p w14:paraId="3218FF79">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14:paraId="6623FFE6">
      <w:pPr>
        <w:snapToGrid w:val="0"/>
        <w:spacing w:line="240" w:lineRule="auto"/>
        <w:ind w:firstLine="1668" w:firstLineChars="596"/>
        <w:rPr>
          <w:rFonts w:hint="eastAsia" w:ascii="仿宋" w:hAnsi="仿宋" w:eastAsia="仿宋" w:cs="仿宋"/>
          <w:b w:val="0"/>
          <w:bCs/>
          <w:color w:val="0000FF"/>
          <w:sz w:val="28"/>
          <w:szCs w:val="28"/>
        </w:rPr>
      </w:pPr>
    </w:p>
    <w:p w14:paraId="1B314D0E">
      <w:pPr>
        <w:snapToGrid w:val="0"/>
        <w:spacing w:line="240" w:lineRule="auto"/>
        <w:ind w:firstLine="1668" w:firstLineChars="596"/>
        <w:rPr>
          <w:rFonts w:hint="eastAsia" w:ascii="仿宋" w:hAnsi="仿宋" w:eastAsia="仿宋" w:cs="仿宋"/>
          <w:b w:val="0"/>
          <w:bCs/>
          <w:color w:val="0000FF"/>
          <w:sz w:val="28"/>
          <w:szCs w:val="28"/>
        </w:rPr>
      </w:pPr>
    </w:p>
    <w:p w14:paraId="3FC36BD3">
      <w:pPr>
        <w:snapToGrid w:val="0"/>
        <w:spacing w:line="240" w:lineRule="auto"/>
        <w:ind w:firstLine="1668" w:firstLineChars="596"/>
        <w:rPr>
          <w:rFonts w:hint="eastAsia" w:ascii="仿宋" w:hAnsi="仿宋" w:eastAsia="仿宋" w:cs="仿宋"/>
          <w:b w:val="0"/>
          <w:bCs/>
          <w:color w:val="0000FF"/>
          <w:sz w:val="28"/>
          <w:szCs w:val="28"/>
        </w:rPr>
      </w:pPr>
    </w:p>
    <w:p w14:paraId="6F57728A">
      <w:pPr>
        <w:snapToGrid w:val="0"/>
        <w:spacing w:line="240" w:lineRule="auto"/>
        <w:ind w:firstLine="1668" w:firstLineChars="596"/>
        <w:rPr>
          <w:rFonts w:hint="eastAsia" w:ascii="仿宋" w:hAnsi="仿宋" w:eastAsia="仿宋" w:cs="仿宋"/>
          <w:b w:val="0"/>
          <w:bCs/>
          <w:color w:val="0000FF"/>
          <w:sz w:val="28"/>
          <w:szCs w:val="28"/>
        </w:rPr>
      </w:pPr>
    </w:p>
    <w:p w14:paraId="4B47E125">
      <w:pPr>
        <w:pStyle w:val="11"/>
        <w:spacing w:line="240" w:lineRule="auto"/>
        <w:rPr>
          <w:rFonts w:hint="eastAsia" w:ascii="仿宋" w:hAnsi="仿宋" w:eastAsia="仿宋" w:cs="仿宋"/>
          <w:b w:val="0"/>
          <w:bCs/>
          <w:sz w:val="28"/>
          <w:szCs w:val="28"/>
        </w:rPr>
      </w:pPr>
    </w:p>
    <w:p w14:paraId="41F44EDD">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7FF99CB8">
      <w:pPr>
        <w:snapToGrid w:val="0"/>
        <w:spacing w:line="240" w:lineRule="auto"/>
        <w:rPr>
          <w:rFonts w:hint="eastAsia" w:ascii="仿宋" w:hAnsi="仿宋" w:eastAsia="仿宋" w:cs="仿宋"/>
          <w:b w:val="0"/>
          <w:bCs/>
          <w:sz w:val="28"/>
          <w:szCs w:val="28"/>
        </w:rPr>
      </w:pPr>
    </w:p>
    <w:p w14:paraId="592A0E65">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14:paraId="481B59AB">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14:paraId="624DD999">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14:paraId="66D688E6">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14:paraId="43727E98">
      <w:pPr>
        <w:pStyle w:val="12"/>
        <w:rPr>
          <w:rFonts w:hint="default" w:ascii="仿宋" w:hAnsi="仿宋" w:eastAsia="仿宋" w:cs="微软雅黑"/>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9A5A6"/>
    <w:multiLevelType w:val="singleLevel"/>
    <w:tmpl w:val="F689A5A6"/>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3">
    <w:nsid w:val="09D7CAED"/>
    <w:multiLevelType w:val="singleLevel"/>
    <w:tmpl w:val="09D7CAED"/>
    <w:lvl w:ilvl="0" w:tentative="0">
      <w:start w:val="1"/>
      <w:numFmt w:val="chineseCounting"/>
      <w:suff w:val="nothing"/>
      <w:lvlText w:val="（%1）"/>
      <w:lvlJc w:val="left"/>
      <w:rPr>
        <w:rFonts w:hint="eastAsia"/>
      </w:rPr>
    </w:lvl>
  </w:abstractNum>
  <w:abstractNum w:abstractNumId="4">
    <w:nsid w:val="1D0CA0C5"/>
    <w:multiLevelType w:val="singleLevel"/>
    <w:tmpl w:val="1D0CA0C5"/>
    <w:lvl w:ilvl="0" w:tentative="0">
      <w:start w:val="1"/>
      <w:numFmt w:val="decimal"/>
      <w:lvlText w:val="%1."/>
      <w:lvlJc w:val="left"/>
      <w:pPr>
        <w:ind w:left="425" w:hanging="425"/>
      </w:pPr>
      <w:rPr>
        <w:rFonts w:hint="default"/>
      </w:rPr>
    </w:lvl>
  </w:abstractNum>
  <w:abstractNum w:abstractNumId="5">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779C931F"/>
    <w:multiLevelType w:val="singleLevel"/>
    <w:tmpl w:val="779C931F"/>
    <w:lvl w:ilvl="0" w:tentative="0">
      <w:start w:val="1"/>
      <w:numFmt w:val="chineseCounting"/>
      <w:suff w:val="nothing"/>
      <w:lvlText w:val="（%1）"/>
      <w:lvlJc w:val="left"/>
      <w:rPr>
        <w:rFonts w:hint="eastAsia"/>
      </w:rPr>
    </w:lvl>
  </w:abstractNum>
  <w:num w:numId="1">
    <w:abstractNumId w:val="5"/>
  </w:num>
  <w:num w:numId="2">
    <w:abstractNumId w:val="4"/>
  </w:num>
  <w:num w:numId="3">
    <w:abstractNumId w:val="3"/>
  </w:num>
  <w:num w:numId="4">
    <w:abstractNumId w:val="7"/>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zNWEwMzExYTEyNjU0NjNlMjg3MGZhNTEzYTc4NTEifQ=="/>
  </w:docVars>
  <w:rsids>
    <w:rsidRoot w:val="256C7635"/>
    <w:rsid w:val="01AD22E7"/>
    <w:rsid w:val="02054F52"/>
    <w:rsid w:val="025739FF"/>
    <w:rsid w:val="02876A43"/>
    <w:rsid w:val="03A32C74"/>
    <w:rsid w:val="03B50748"/>
    <w:rsid w:val="047563BF"/>
    <w:rsid w:val="07415229"/>
    <w:rsid w:val="07EB13A4"/>
    <w:rsid w:val="0AF65D7F"/>
    <w:rsid w:val="0D4B3949"/>
    <w:rsid w:val="0D9A0C44"/>
    <w:rsid w:val="0DF2282E"/>
    <w:rsid w:val="0FA43FFC"/>
    <w:rsid w:val="0FE51112"/>
    <w:rsid w:val="101830E1"/>
    <w:rsid w:val="13F653D3"/>
    <w:rsid w:val="149E726C"/>
    <w:rsid w:val="14A90F1B"/>
    <w:rsid w:val="16BA5EB3"/>
    <w:rsid w:val="17406A6C"/>
    <w:rsid w:val="17822E75"/>
    <w:rsid w:val="17B86DD4"/>
    <w:rsid w:val="192F681B"/>
    <w:rsid w:val="1A78230D"/>
    <w:rsid w:val="1D1030AC"/>
    <w:rsid w:val="2171360F"/>
    <w:rsid w:val="21747CD2"/>
    <w:rsid w:val="21AE4866"/>
    <w:rsid w:val="221E19EC"/>
    <w:rsid w:val="23432D40"/>
    <w:rsid w:val="23A83C63"/>
    <w:rsid w:val="23ED78C8"/>
    <w:rsid w:val="256C7635"/>
    <w:rsid w:val="257C6BEF"/>
    <w:rsid w:val="26543C2E"/>
    <w:rsid w:val="26BB5A5B"/>
    <w:rsid w:val="274556FA"/>
    <w:rsid w:val="28EF7C3E"/>
    <w:rsid w:val="2959155B"/>
    <w:rsid w:val="2AA333D6"/>
    <w:rsid w:val="2AFB1A46"/>
    <w:rsid w:val="2C140AD4"/>
    <w:rsid w:val="2C3D0C5D"/>
    <w:rsid w:val="2CD258AD"/>
    <w:rsid w:val="2D102879"/>
    <w:rsid w:val="2E000C3E"/>
    <w:rsid w:val="2E020414"/>
    <w:rsid w:val="2E9A0811"/>
    <w:rsid w:val="2EC76001"/>
    <w:rsid w:val="2F0361F1"/>
    <w:rsid w:val="2F136972"/>
    <w:rsid w:val="2F326AD7"/>
    <w:rsid w:val="305A62E5"/>
    <w:rsid w:val="321D3A6E"/>
    <w:rsid w:val="32F02764"/>
    <w:rsid w:val="33764A4E"/>
    <w:rsid w:val="35447564"/>
    <w:rsid w:val="362E718F"/>
    <w:rsid w:val="38C033A5"/>
    <w:rsid w:val="38D92593"/>
    <w:rsid w:val="39137A6A"/>
    <w:rsid w:val="394915ED"/>
    <w:rsid w:val="3A3A2866"/>
    <w:rsid w:val="3A4777B0"/>
    <w:rsid w:val="3BBA744D"/>
    <w:rsid w:val="3C2F503B"/>
    <w:rsid w:val="3C5E715D"/>
    <w:rsid w:val="3C814A1F"/>
    <w:rsid w:val="3CB90A0D"/>
    <w:rsid w:val="3CF17FD1"/>
    <w:rsid w:val="3DCC3519"/>
    <w:rsid w:val="3E52684D"/>
    <w:rsid w:val="419B6A3A"/>
    <w:rsid w:val="41A76EB0"/>
    <w:rsid w:val="41BB54E5"/>
    <w:rsid w:val="420E33D3"/>
    <w:rsid w:val="42520F10"/>
    <w:rsid w:val="42E1448F"/>
    <w:rsid w:val="465B470D"/>
    <w:rsid w:val="4AF013C9"/>
    <w:rsid w:val="4D376A08"/>
    <w:rsid w:val="4E455264"/>
    <w:rsid w:val="4F320C53"/>
    <w:rsid w:val="5015592D"/>
    <w:rsid w:val="503A5393"/>
    <w:rsid w:val="506A3ECB"/>
    <w:rsid w:val="521560B8"/>
    <w:rsid w:val="52325D6E"/>
    <w:rsid w:val="52B646DC"/>
    <w:rsid w:val="597015C7"/>
    <w:rsid w:val="5C4557EC"/>
    <w:rsid w:val="614F743B"/>
    <w:rsid w:val="623B5B62"/>
    <w:rsid w:val="62522A10"/>
    <w:rsid w:val="63066872"/>
    <w:rsid w:val="64FE58CD"/>
    <w:rsid w:val="652F38F2"/>
    <w:rsid w:val="65622F6B"/>
    <w:rsid w:val="65D33E68"/>
    <w:rsid w:val="66AB742B"/>
    <w:rsid w:val="68743B4D"/>
    <w:rsid w:val="6A2A45E1"/>
    <w:rsid w:val="6BDE45F3"/>
    <w:rsid w:val="6DD16EDF"/>
    <w:rsid w:val="6EB63F89"/>
    <w:rsid w:val="6EFC20F8"/>
    <w:rsid w:val="6F6D2C38"/>
    <w:rsid w:val="6FF869A5"/>
    <w:rsid w:val="702459EC"/>
    <w:rsid w:val="705F07D2"/>
    <w:rsid w:val="706E6C67"/>
    <w:rsid w:val="715B78C5"/>
    <w:rsid w:val="71AB5C99"/>
    <w:rsid w:val="729149D6"/>
    <w:rsid w:val="752710C6"/>
    <w:rsid w:val="756379B6"/>
    <w:rsid w:val="766F54E7"/>
    <w:rsid w:val="774601F9"/>
    <w:rsid w:val="7749547D"/>
    <w:rsid w:val="78877AF1"/>
    <w:rsid w:val="78AD046C"/>
    <w:rsid w:val="78C552D3"/>
    <w:rsid w:val="79863274"/>
    <w:rsid w:val="7A946DA5"/>
    <w:rsid w:val="7CD42548"/>
    <w:rsid w:val="7D891584"/>
    <w:rsid w:val="7E5F05A5"/>
    <w:rsid w:val="7E75344D"/>
    <w:rsid w:val="7EBC7738"/>
    <w:rsid w:val="7F5C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footer"/>
    <w:basedOn w:val="1"/>
    <w:autoRedefine/>
    <w:qFormat/>
    <w:uiPriority w:val="99"/>
    <w:pPr>
      <w:tabs>
        <w:tab w:val="center" w:pos="4153"/>
        <w:tab w:val="right" w:pos="8306"/>
      </w:tabs>
      <w:snapToGrid w:val="0"/>
      <w:jc w:val="left"/>
    </w:pPr>
    <w:rPr>
      <w:rFonts w:ascii="Tahoma" w:hAnsi="Tahoma"/>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7">
    <w:name w:val="toc 1"/>
    <w:basedOn w:val="1"/>
    <w:next w:val="1"/>
    <w:autoRedefine/>
    <w:qFormat/>
    <w:uiPriority w:val="39"/>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正文_0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4">
    <w:name w:val="正文_1"/>
    <w:autoRedefine/>
    <w:qFormat/>
    <w:uiPriority w:val="0"/>
    <w:pPr>
      <w:widowControl w:val="0"/>
      <w:jc w:val="both"/>
    </w:pPr>
    <w:rPr>
      <w:rFonts w:ascii="等线" w:hAnsi="等线" w:eastAsia="宋体" w:cs="Times New Roman"/>
      <w:kern w:val="2"/>
      <w:sz w:val="21"/>
      <w:szCs w:val="24"/>
      <w:lang w:val="en-US" w:eastAsia="zh-CN" w:bidi="ar-SA"/>
    </w:rPr>
  </w:style>
  <w:style w:type="paragraph" w:customStyle="1" w:styleId="15">
    <w:name w:val="正文+缩进"/>
    <w:basedOn w:val="1"/>
    <w:qFormat/>
    <w:uiPriority w:val="0"/>
    <w:pPr>
      <w:ind w:firstLine="200" w:firstLineChars="200"/>
    </w:pPr>
    <w:rPr>
      <w:rFonts w:ascii="等线" w:hAnsi="等线"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18772</Words>
  <Characters>19118</Characters>
  <Lines>0</Lines>
  <Paragraphs>0</Paragraphs>
  <TotalTime>7</TotalTime>
  <ScaleCrop>false</ScaleCrop>
  <LinksUpToDate>false</LinksUpToDate>
  <CharactersWithSpaces>19880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他叫装斯文先生</cp:lastModifiedBy>
  <cp:lastPrinted>2024-07-29T00:22:00Z</cp:lastPrinted>
  <dcterms:modified xsi:type="dcterms:W3CDTF">2024-07-29T07:42:57Z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616149B0325E4795B48873E2CEFD0BFB</vt:lpwstr>
  </property>
</Properties>
</file>