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SBC-2024-L009</w:t>
      </w: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default" w:ascii="宋体" w:hAnsi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医用冷藏冷冻冰箱2台和医用冷冻冰箱1台</w:t>
      </w: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设备功能要求、配置说明及技术需求</w:t>
      </w:r>
    </w:p>
    <w:p>
      <w:pPr>
        <w:numPr>
          <w:ilvl w:val="0"/>
          <w:numId w:val="1"/>
        </w:numPr>
        <w:spacing w:line="480" w:lineRule="auto"/>
        <w:ind w:left="0" w:leftChars="0" w:firstLine="420" w:firstLineChars="0"/>
        <w:jc w:val="both"/>
        <w:rPr>
          <w:rFonts w:hint="eastAsia" w:ascii="宋体" w:hAnsi="宋体" w:cs="宋体"/>
          <w:b w:val="0"/>
          <w:bCs/>
          <w:sz w:val="28"/>
          <w:szCs w:val="24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医用冷藏冷冻冰箱2台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1.微电脑控制，温度范围-10~-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28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℃可调，控温精度0.1℃。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2.LCD数码显示箱内温度，显示精度0.1℃。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 xml:space="preserve">3. 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具备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多重保护功能：开机延时保护、停机间隔保护、显示面板密码保护、断电记忆、传感器故障保护运行。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4. 多种故障报警（高温报警，低温报警、门开报警）。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5．总有效容积≥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530L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 xml:space="preserve">6. 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一体式手把门锁设计，单手实现开关门。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7．采用碳氢环保制冷剂和制冷系统，明确制冷剂用量，制冷剂用量符合国家安全标准。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8</w:t>
      </w:r>
      <w:bookmarkStart w:id="0" w:name="OLE_LINK41"/>
      <w:bookmarkStart w:id="1" w:name="OLE_LINK42"/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．</w:t>
      </w:r>
      <w:bookmarkEnd w:id="0"/>
      <w:bookmarkEnd w:id="1"/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具有2个测试孔，方便实验使用和监控箱内温度；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9．特性点温度均匀性±3℃，全温区温度均匀性±5℃以内；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10、一体式手把门锁设计，单手实现开关门。可同时使用挂锁，实现多人管理；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11、箱内大空间，搁架上下可调，便于存放不同物品；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12、脚轮+底脚设计，便于移动和锁定调平；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</w:rPr>
        <w:t>13、静音低噪，稳定运行噪音要低于39分贝</w:t>
      </w:r>
      <w:r>
        <w:rPr>
          <w:rFonts w:hint="eastAsia" w:ascii="宋体" w:hAnsi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  <w:t>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</w:pPr>
    </w:p>
    <w:p>
      <w:pPr>
        <w:numPr>
          <w:ilvl w:val="0"/>
          <w:numId w:val="1"/>
        </w:numPr>
        <w:spacing w:line="480" w:lineRule="auto"/>
        <w:ind w:left="0" w:leftChars="0" w:firstLine="420" w:firstLineChars="0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医用冷冻冰箱1台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1、电脑板控制，冷藏冷冻温度同时显示，精度1 ℃。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2、冷藏温度2～8℃；冷冻温度-20~-30 ℃可调。总有效容积≥280L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3、触摸按键，大屏幕LED显示，可同时显示冷藏、冷冻室温度。3、环温超标报警。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4、多种故障报警（高温报警，低温报警、门开报警）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5、配备独立门锁扣，可配备双挂锁。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6、脚轮设计，移动方便。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7、不锈钢内胆，带有2个测试孔。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8、冷藏、冷冻独立制冷系统，可单独停用。有冷冻除霜功能。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9、静音低噪，稳定运行噪音要低于39分贝。</w:t>
      </w:r>
      <w:bookmarkStart w:id="2" w:name="_GoBack"/>
      <w:bookmarkEnd w:id="2"/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10、采用碳氢环保制冷剂和制冷系统，明确制冷剂用量，制冷剂用量符合国家安全标准。</w:t>
      </w:r>
    </w:p>
    <w:p>
      <w:pPr>
        <w:numPr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305E57"/>
    <w:multiLevelType w:val="singleLevel"/>
    <w:tmpl w:val="67305E5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E16352A"/>
    <w:rsid w:val="22AD1311"/>
    <w:rsid w:val="2834714C"/>
    <w:rsid w:val="2F083860"/>
    <w:rsid w:val="303C0120"/>
    <w:rsid w:val="36E92C63"/>
    <w:rsid w:val="39C838EE"/>
    <w:rsid w:val="4FB073EE"/>
    <w:rsid w:val="521F7E84"/>
    <w:rsid w:val="55E82003"/>
    <w:rsid w:val="5AF65C79"/>
    <w:rsid w:val="5B636BD7"/>
    <w:rsid w:val="639B3DC2"/>
    <w:rsid w:val="648151F9"/>
    <w:rsid w:val="676E3E54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styleId="11">
    <w:name w:val="Placeholder Text"/>
    <w:basedOn w:val="7"/>
    <w:autoRedefine/>
    <w:semiHidden/>
    <w:qFormat/>
    <w:uiPriority w:val="99"/>
    <w:rPr>
      <w:color w:val="808080"/>
    </w:r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2024-04-15T03:08:29Z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44047634E49647EEB343BABEF8BA64EC_13</vt:lpwstr>
  </property>
</Properties>
</file>