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东津院区急诊ICU空调室外机更换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2023年12月22日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项目编码：ZBB-2023-086</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项目名称：东津院区急诊ICU空调室外机更换</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99511.43</w:t>
      </w:r>
      <w:r>
        <w:rPr>
          <w:rFonts w:hint="eastAsia" w:ascii="微软雅黑" w:hAnsi="微软雅黑" w:eastAsia="微软雅黑" w:cs="微软雅黑"/>
          <w:b w:val="0"/>
          <w:bCs w:val="0"/>
          <w:color w:val="auto"/>
          <w:u w:val="none"/>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主要采购内容：详见工程量清单</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包含的其他采购内容：详见工程量清单</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合同履约期限：5日历天</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其他：</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sz w:val="21"/>
          <w:szCs w:val="21"/>
          <w:lang w:val="en-US" w:eastAsia="zh-CN"/>
        </w:rPr>
        <w:t>满足《中华人民共和国政府采购法》第二十二条规定，即：</w:t>
      </w:r>
      <w:r>
        <w:rPr>
          <w:rFonts w:hint="eastAsia" w:ascii="微软雅黑" w:hAnsi="微软雅黑" w:eastAsia="微软雅黑" w:cs="微软雅黑"/>
          <w:sz w:val="21"/>
          <w:szCs w:val="21"/>
          <w:lang w:val="en-US" w:eastAsia="zh-CN"/>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lang w:val="en-US" w:eastAsia="zh-CN"/>
        </w:rPr>
        <w:t>未被列入失信被执行人、重大税收违法失信主体，未被列入政府采购严重违法失信</w:t>
      </w:r>
      <w:r>
        <w:rPr>
          <w:rFonts w:hint="eastAsia" w:ascii="微软雅黑" w:hAnsi="微软雅黑" w:eastAsia="微软雅黑" w:cs="微软雅黑"/>
          <w:b w:val="0"/>
          <w:bCs w:val="0"/>
          <w:color w:val="auto"/>
          <w:lang w:val="en-US" w:eastAsia="zh-CN"/>
        </w:rPr>
        <w:t>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资质类要求：建筑机电安装叁级及以上资质，提供资质证书；</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投标人应提供至少一份投标截止日前三年内类似工程业绩合同原件待查；</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材料及工艺需符合本文第三章第二条要求。</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报名时间：2023年12月25日0时0分起至2023年12月29</w:t>
      </w:r>
      <w:bookmarkStart w:id="23" w:name="_GoBack"/>
      <w:bookmarkEnd w:id="23"/>
      <w:r>
        <w:rPr>
          <w:rFonts w:hint="eastAsia" w:ascii="微软雅黑" w:hAnsi="微软雅黑" w:eastAsia="微软雅黑" w:cs="微软雅黑"/>
          <w:b w:val="0"/>
          <w:bCs w:val="0"/>
          <w:color w:val="auto"/>
          <w:lang w:val="en-US" w:eastAsia="zh-CN"/>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开标地点：襄阳市中心医院东津院区门诊医技楼B区-2座四楼4号会议室（暂定，如有更改，采购人会以电话0710-3520178通知）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lang w:val="en-US" w:eastAsia="zh-CN"/>
        </w:rPr>
      </w:pPr>
      <w:r>
        <w:rPr>
          <w:rFonts w:hint="eastAsia" w:ascii="微软雅黑" w:hAnsi="微软雅黑" w:eastAsia="微软雅黑" w:cs="微软雅黑"/>
          <w:b w:val="0"/>
          <w:bCs w:val="0"/>
          <w:color w:val="auto"/>
          <w:lang w:val="en-US" w:eastAsia="zh-CN"/>
        </w:rPr>
        <w:t>地址：襄阳市中心医院东津院区门诊医技楼B区-2座四楼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联系人：郑老师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联系电话：0710-3512090</w:t>
      </w: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采购需求 （本章按项目情况编制）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b/>
          <w:bCs/>
          <w:color w:val="auto"/>
          <w:sz w:val="21"/>
          <w:szCs w:val="21"/>
          <w:lang w:val="en-US" w:eastAsia="zh-CN"/>
        </w:rPr>
        <w:t>工程内容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31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序号</w:t>
            </w:r>
          </w:p>
        </w:tc>
        <w:tc>
          <w:tcPr>
            <w:tcW w:w="6319"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采购内容</w:t>
            </w:r>
          </w:p>
        </w:tc>
        <w:tc>
          <w:tcPr>
            <w:tcW w:w="1230"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w:t>
            </w:r>
          </w:p>
        </w:tc>
        <w:tc>
          <w:tcPr>
            <w:tcW w:w="6319" w:type="dxa"/>
          </w:tcPr>
          <w:p>
            <w:pPr>
              <w:keepNext w:val="0"/>
              <w:keepLines w:val="0"/>
              <w:widowControl/>
              <w:suppressLineNumbers w:val="0"/>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kern w:val="0"/>
                <w:sz w:val="21"/>
                <w:szCs w:val="21"/>
                <w:lang w:val="en-US" w:eastAsia="zh-CN" w:bidi="ar"/>
              </w:rPr>
              <w:t>风冷模块机组</w:t>
            </w:r>
          </w:p>
        </w:tc>
        <w:tc>
          <w:tcPr>
            <w:tcW w:w="1230"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w:t>
            </w:r>
          </w:p>
        </w:tc>
        <w:tc>
          <w:tcPr>
            <w:tcW w:w="6319" w:type="dxa"/>
          </w:tcPr>
          <w:p>
            <w:pPr>
              <w:keepNext w:val="0"/>
              <w:keepLines w:val="0"/>
              <w:widowControl/>
              <w:suppressLineNumbers w:val="0"/>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kern w:val="0"/>
                <w:sz w:val="21"/>
                <w:szCs w:val="21"/>
                <w:lang w:val="en-US" w:eastAsia="zh-CN" w:bidi="ar"/>
              </w:rPr>
              <w:t>配件若干（详见工程量清单）</w:t>
            </w:r>
          </w:p>
        </w:tc>
        <w:tc>
          <w:tcPr>
            <w:tcW w:w="1230"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3</w:t>
            </w:r>
          </w:p>
        </w:tc>
        <w:tc>
          <w:tcPr>
            <w:tcW w:w="6319" w:type="dxa"/>
          </w:tcPr>
          <w:p>
            <w:pPr>
              <w:keepNext w:val="0"/>
              <w:keepLines w:val="0"/>
              <w:widowControl/>
              <w:suppressLineNumbers w:val="0"/>
              <w:jc w:val="left"/>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原有设备设施拆除</w:t>
            </w:r>
          </w:p>
        </w:tc>
        <w:tc>
          <w:tcPr>
            <w:tcW w:w="1230"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若干</w:t>
            </w:r>
          </w:p>
        </w:tc>
      </w:tr>
    </w:tbl>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技术要求</w:t>
      </w:r>
    </w:p>
    <w:p>
      <w:pPr>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（一）材料质量</w:t>
      </w:r>
    </w:p>
    <w:p>
      <w:pPr>
        <w:widowControl/>
        <w:ind w:firstLine="420" w:firstLineChars="20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投标人提供的施工材料，应满足</w:t>
      </w:r>
      <w:r>
        <w:rPr>
          <w:rFonts w:hint="eastAsia" w:ascii="微软雅黑" w:hAnsi="微软雅黑" w:eastAsia="微软雅黑" w:cs="微软雅黑"/>
          <w:color w:val="auto"/>
          <w:sz w:val="21"/>
          <w:szCs w:val="21"/>
          <w:lang w:eastAsia="zh-CN"/>
        </w:rPr>
        <w:t>行业</w:t>
      </w:r>
      <w:r>
        <w:rPr>
          <w:rFonts w:hint="eastAsia" w:ascii="微软雅黑" w:hAnsi="微软雅黑" w:eastAsia="微软雅黑" w:cs="微软雅黑"/>
          <w:color w:val="auto"/>
          <w:sz w:val="21"/>
          <w:szCs w:val="21"/>
        </w:rPr>
        <w:t>质量标准并符合</w:t>
      </w:r>
      <w:r>
        <w:rPr>
          <w:rFonts w:hint="eastAsia" w:ascii="微软雅黑" w:hAnsi="微软雅黑" w:eastAsia="微软雅黑" w:cs="微软雅黑"/>
          <w:color w:val="auto"/>
          <w:sz w:val="21"/>
          <w:szCs w:val="21"/>
          <w:lang w:eastAsia="zh-CN"/>
        </w:rPr>
        <w:t>医疗机构</w:t>
      </w:r>
      <w:r>
        <w:rPr>
          <w:rFonts w:hint="eastAsia" w:ascii="微软雅黑" w:hAnsi="微软雅黑" w:eastAsia="微软雅黑" w:cs="微软雅黑"/>
          <w:color w:val="auto"/>
          <w:sz w:val="21"/>
          <w:szCs w:val="21"/>
        </w:rPr>
        <w:t>使用需求。</w:t>
      </w:r>
    </w:p>
    <w:p>
      <w:pPr>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（二）施工工艺要求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color w:val="auto"/>
          <w:sz w:val="21"/>
          <w:szCs w:val="21"/>
        </w:rPr>
        <w:t>投标人的施工方案需响应招标文件，满足行业规范及甲方的使用需求。</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合同履约期限：5日历天</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质保期：2年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服务要求：响应招标文件、施工图及工程量清单要求，按规范施工。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结算方式：人民币结算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合同条款：工程结算审计完毕并收到发票后支付到结算价款的97%，余工程结算价款的3%作为质保金，在质保期满后一次性无息支付。</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（一）施工组织</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color w:val="auto"/>
          <w:sz w:val="21"/>
          <w:szCs w:val="21"/>
        </w:rPr>
        <w:t>本项目一经中标，项目负责人必须常驻现场。项目负责人须明确只承担本工程工作；未经甲方许可项目经理不得更换，如擅自更换项目经理，则按违反合同条款处以壹万元罚款。</w:t>
      </w:r>
      <w:r>
        <w:rPr>
          <w:rFonts w:hint="eastAsia" w:ascii="微软雅黑" w:hAnsi="微软雅黑" w:eastAsia="微软雅黑" w:cs="微软雅黑"/>
          <w:sz w:val="21"/>
          <w:szCs w:val="21"/>
        </w:rPr>
        <w:t>施工进场前，须向院方提供施工组织计划现场施工、施工管理人员名单及联系方式，由院方同意后方能进场。</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（二）施工现场管理</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施工方进场及作业需遵守医院相关管理规定。施工区域合理规划，施工材料堆放有序。施工中建筑垃圾必须及时清理并外运。</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投标人在施工中应保护好医院既有设施，若因施工对医院既有设施造成损坏由投标人负责赔偿；投标人负责承担、支付施工期间与襄阳市城管、环保等单位的协调办证、交费事宜。</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（三）施工安全管理</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施工过程中需做好各项安全防护，确保施工安全。施工方承担施工中发生的一切安全责任。如发生一般安全责任事故，招标人可对承包人罚每例伍仟元的违约金。如发生重大安全责任事故，承包人除承担全部的经济损失和责任外，招标人可对承包人罚每例伍仟元的违约金。</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（四）施工用料</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工程材料须达到院方的要求。所有材料施工进场前，须提交相关材料质量合格证明，且经院方签字同意后方可进场，如质量达不到院方要求，院方有权提出更换材料。</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（五）其他事项</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保障正常医疗工作为前提，合理安排施工时间，尽量减少噪音、粉尘等对医疗活动造成的影响。施工涉及到水电等可能影响到医院医疗、生活秩序的内容，需提前不少于24小时告知院方，由院方协调相关工作。由此造成的施工降效由施工方承担。</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2.如果需夜间施工，需提前不少于24小时向招标人提出申请，并附夜间施工方案，经过招标人同意后方可施工，夜间施工需严格按照招标人要求进行。</w:t>
      </w: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详细评分办法（详细评分表）</w:t>
      </w:r>
    </w:p>
    <w:tbl>
      <w:tblPr>
        <w:tblStyle w:val="9"/>
        <w:tblW w:w="9156" w:type="dxa"/>
        <w:jc w:val="center"/>
        <w:tblLayout w:type="fixed"/>
        <w:tblCellMar>
          <w:top w:w="0" w:type="dxa"/>
          <w:left w:w="108" w:type="dxa"/>
          <w:bottom w:w="0" w:type="dxa"/>
          <w:right w:w="108" w:type="dxa"/>
        </w:tblCellMar>
      </w:tblPr>
      <w:tblGrid>
        <w:gridCol w:w="371"/>
        <w:gridCol w:w="885"/>
        <w:gridCol w:w="1096"/>
        <w:gridCol w:w="709"/>
        <w:gridCol w:w="6095"/>
      </w:tblGrid>
      <w:tr>
        <w:tblPrEx>
          <w:tblCellMar>
            <w:top w:w="0" w:type="dxa"/>
            <w:left w:w="108" w:type="dxa"/>
            <w:bottom w:w="0" w:type="dxa"/>
            <w:right w:w="108" w:type="dxa"/>
          </w:tblCellMar>
        </w:tblPrEx>
        <w:trPr>
          <w:trHeight w:val="270" w:hRule="atLeast"/>
          <w:jc w:val="center"/>
        </w:trPr>
        <w:tc>
          <w:tcPr>
            <w:tcW w:w="37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371" w:type="dxa"/>
            <w:vMerge w:val="restart"/>
            <w:tcBorders>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p>
        </w:tc>
        <w:tc>
          <w:tcPr>
            <w:tcW w:w="885" w:type="dxa"/>
            <w:vMerge w:val="restart"/>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p>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评审</w:t>
            </w:r>
          </w:p>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w:t>
            </w:r>
            <w:r>
              <w:rPr>
                <w:rFonts w:hint="eastAsia" w:ascii="微软雅黑" w:hAnsi="微软雅黑" w:eastAsia="微软雅黑" w:cs="微软雅黑"/>
                <w:b w:val="0"/>
                <w:bCs/>
                <w:kern w:val="0"/>
                <w:sz w:val="21"/>
                <w:szCs w:val="21"/>
                <w:lang w:val="en-US" w:eastAsia="zh-CN"/>
              </w:rPr>
              <w:t>35）</w:t>
            </w:r>
          </w:p>
        </w:tc>
        <w:tc>
          <w:tcPr>
            <w:tcW w:w="1096"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lang w:eastAsia="zh-CN"/>
              </w:rPr>
            </w:pPr>
            <w:r>
              <w:rPr>
                <w:rFonts w:hint="eastAsia" w:ascii="微软雅黑" w:hAnsi="微软雅黑" w:eastAsia="微软雅黑" w:cs="微软雅黑"/>
                <w:b w:val="0"/>
                <w:bCs/>
                <w:color w:val="auto"/>
                <w:spacing w:val="-6"/>
                <w:sz w:val="21"/>
                <w:szCs w:val="21"/>
                <w:highlight w:val="none"/>
                <w:lang w:eastAsia="zh-CN"/>
              </w:rPr>
              <w:t>企业资质</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6095"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《建筑业企业资质证书》等级：按专业承包资质高低得分。建筑机电安装一级（甲级）及以上资质得10分；建筑机电安装二级（乙级）资质得8分；建筑机电安装三级（丙级）资质得6分。</w:t>
            </w:r>
          </w:p>
        </w:tc>
      </w:tr>
      <w:tr>
        <w:tblPrEx>
          <w:tblCellMar>
            <w:top w:w="0" w:type="dxa"/>
            <w:left w:w="108" w:type="dxa"/>
            <w:bottom w:w="0" w:type="dxa"/>
            <w:right w:w="108" w:type="dxa"/>
          </w:tblCellMar>
        </w:tblPrEx>
        <w:trPr>
          <w:trHeight w:val="966" w:hRule="atLeast"/>
          <w:jc w:val="center"/>
        </w:trPr>
        <w:tc>
          <w:tcPr>
            <w:tcW w:w="371"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88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lang w:eastAsia="zh-CN"/>
              </w:rPr>
            </w:pPr>
            <w:r>
              <w:rPr>
                <w:rFonts w:hint="eastAsia" w:ascii="微软雅黑" w:hAnsi="微软雅黑" w:eastAsia="微软雅黑" w:cs="微软雅黑"/>
                <w:b w:val="0"/>
                <w:bCs/>
                <w:spacing w:val="-6"/>
                <w:sz w:val="21"/>
                <w:szCs w:val="21"/>
                <w:highlight w:val="none"/>
                <w:lang w:eastAsia="zh-CN"/>
              </w:rPr>
              <w:t>企业业绩</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20</w:t>
            </w:r>
          </w:p>
        </w:tc>
        <w:tc>
          <w:tcPr>
            <w:tcW w:w="6095"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近三年内承担的电力工程类项目情况、企业信誉（近三年内无违章情况）、管理水平、技术力量、资金情况、现场管理等。有一个为大型企事业单位铺设电缆（100米以上）得5分，满分20分。</w:t>
            </w:r>
          </w:p>
        </w:tc>
      </w:tr>
      <w:tr>
        <w:tblPrEx>
          <w:tblCellMar>
            <w:top w:w="0" w:type="dxa"/>
            <w:left w:w="108" w:type="dxa"/>
            <w:bottom w:w="0" w:type="dxa"/>
            <w:right w:w="108" w:type="dxa"/>
          </w:tblCellMar>
        </w:tblPrEx>
        <w:trPr>
          <w:trHeight w:val="1267" w:hRule="atLeast"/>
          <w:jc w:val="center"/>
        </w:trPr>
        <w:tc>
          <w:tcPr>
            <w:tcW w:w="371"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88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安全文明施工</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zh-CN"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1160" w:hRule="atLeast"/>
          <w:jc w:val="center"/>
        </w:trPr>
        <w:tc>
          <w:tcPr>
            <w:tcW w:w="371"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88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p>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评审</w:t>
            </w:r>
          </w:p>
          <w:p>
            <w:pPr>
              <w:spacing w:line="360" w:lineRule="exact"/>
              <w:jc w:val="both"/>
              <w:rPr>
                <w:rFonts w:hint="eastAsia" w:eastAsia="微软雅黑"/>
                <w:lang w:eastAsia="zh-CN"/>
              </w:rPr>
            </w:pPr>
            <w:r>
              <w:rPr>
                <w:rFonts w:hint="eastAsia" w:ascii="微软雅黑" w:hAnsi="微软雅黑" w:eastAsia="微软雅黑" w:cs="微软雅黑"/>
                <w:b w:val="0"/>
                <w:bCs/>
                <w:kern w:val="0"/>
                <w:sz w:val="21"/>
                <w:szCs w:val="21"/>
                <w:lang w:eastAsia="zh-CN"/>
              </w:rPr>
              <w:t>（</w:t>
            </w:r>
            <w:r>
              <w:rPr>
                <w:rFonts w:hint="eastAsia" w:ascii="微软雅黑" w:hAnsi="微软雅黑" w:eastAsia="微软雅黑" w:cs="微软雅黑"/>
                <w:b w:val="0"/>
                <w:bCs/>
                <w:kern w:val="0"/>
                <w:sz w:val="21"/>
                <w:szCs w:val="21"/>
                <w:lang w:val="en-US" w:eastAsia="zh-CN"/>
              </w:rPr>
              <w:t>35）</w:t>
            </w:r>
          </w:p>
          <w:p>
            <w:pPr>
              <w:pStyle w:val="2"/>
              <w:rPr>
                <w:rFonts w:hint="eastAsia"/>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rPr>
            </w:pPr>
            <w:r>
              <w:rPr>
                <w:rFonts w:hint="eastAsia" w:ascii="微软雅黑" w:hAnsi="微软雅黑" w:eastAsia="微软雅黑" w:cs="微软雅黑"/>
                <w:b w:val="0"/>
                <w:bCs/>
                <w:spacing w:val="-6"/>
                <w:sz w:val="21"/>
                <w:szCs w:val="21"/>
                <w:highlight w:val="none"/>
                <w:lang w:eastAsia="zh-CN"/>
              </w:rPr>
              <w:t>施工技术方案</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eastAsia="zh-CN"/>
              </w:rPr>
              <w:t>施工技术方案：</w:t>
            </w:r>
          </w:p>
          <w:p>
            <w:pPr>
              <w:numPr>
                <w:ilvl w:val="0"/>
                <w:numId w:val="3"/>
              </w:num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spacing w:val="-6"/>
                <w:sz w:val="21"/>
                <w:szCs w:val="21"/>
                <w:lang w:eastAsia="zh-CN"/>
              </w:rPr>
              <w:t>施工组织设计完整，方案齐全，能解决施工中的各项难点；</w:t>
            </w:r>
            <w:r>
              <w:rPr>
                <w:rFonts w:hint="eastAsia" w:ascii="微软雅黑" w:hAnsi="微软雅黑" w:eastAsia="微软雅黑" w:cs="微软雅黑"/>
                <w:b w:val="0"/>
                <w:bCs/>
                <w:spacing w:val="-6"/>
                <w:sz w:val="21"/>
                <w:szCs w:val="21"/>
                <w:lang w:val="en-US" w:eastAsia="zh-CN"/>
              </w:rPr>
              <w:t>方案完善的得</w:t>
            </w:r>
            <w:r>
              <w:rPr>
                <w:rFonts w:hint="eastAsia" w:ascii="微软雅黑" w:hAnsi="微软雅黑" w:eastAsia="微软雅黑" w:cs="微软雅黑"/>
                <w:b w:val="0"/>
                <w:bCs/>
                <w:spacing w:val="-6"/>
                <w:sz w:val="21"/>
                <w:szCs w:val="21"/>
                <w:lang w:eastAsia="zh-CN"/>
              </w:rPr>
              <w:t>4分，</w:t>
            </w:r>
            <w:r>
              <w:rPr>
                <w:rFonts w:hint="eastAsia" w:ascii="微软雅黑" w:hAnsi="微软雅黑" w:eastAsia="微软雅黑" w:cs="微软雅黑"/>
                <w:b w:val="0"/>
                <w:bCs/>
                <w:spacing w:val="-6"/>
                <w:sz w:val="21"/>
                <w:szCs w:val="21"/>
                <w:lang w:val="en-US" w:eastAsia="zh-CN"/>
              </w:rPr>
              <w:t>较为详细的得2分，不详细或不符合要求的不得分</w:t>
            </w:r>
            <w:r>
              <w:rPr>
                <w:rFonts w:hint="eastAsia" w:ascii="微软雅黑" w:hAnsi="微软雅黑" w:eastAsia="微软雅黑" w:cs="微软雅黑"/>
                <w:b w:val="0"/>
                <w:bCs/>
                <w:spacing w:val="-6"/>
                <w:sz w:val="21"/>
                <w:szCs w:val="21"/>
                <w:lang w:eastAsia="zh-CN"/>
              </w:rPr>
              <w:t>；</w:t>
            </w:r>
          </w:p>
          <w:p>
            <w:pPr>
              <w:numPr>
                <w:ilvl w:val="0"/>
                <w:numId w:val="3"/>
              </w:numPr>
              <w:spacing w:line="360" w:lineRule="exact"/>
              <w:ind w:left="0" w:leftChars="0" w:firstLine="0" w:firstLineChars="0"/>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eastAsia="zh-CN"/>
              </w:rPr>
              <w:t>施工进度计划合理满足招标文件工期要求；</w:t>
            </w:r>
            <w:r>
              <w:rPr>
                <w:rFonts w:hint="eastAsia" w:ascii="微软雅黑" w:hAnsi="微软雅黑" w:eastAsia="微软雅黑" w:cs="微软雅黑"/>
                <w:b w:val="0"/>
                <w:bCs/>
                <w:spacing w:val="-6"/>
                <w:sz w:val="21"/>
                <w:szCs w:val="21"/>
                <w:lang w:val="en-US" w:eastAsia="zh-CN"/>
              </w:rPr>
              <w:t>方案完善的得3</w:t>
            </w:r>
            <w:r>
              <w:rPr>
                <w:rFonts w:hint="eastAsia" w:ascii="微软雅黑" w:hAnsi="微软雅黑" w:eastAsia="微软雅黑" w:cs="微软雅黑"/>
                <w:b w:val="0"/>
                <w:bCs/>
                <w:spacing w:val="-6"/>
                <w:sz w:val="21"/>
                <w:szCs w:val="21"/>
                <w:lang w:eastAsia="zh-CN"/>
              </w:rPr>
              <w:t>分，</w:t>
            </w:r>
            <w:r>
              <w:rPr>
                <w:rFonts w:hint="eastAsia" w:ascii="微软雅黑" w:hAnsi="微软雅黑" w:eastAsia="微软雅黑" w:cs="微软雅黑"/>
                <w:b w:val="0"/>
                <w:bCs/>
                <w:spacing w:val="-6"/>
                <w:sz w:val="21"/>
                <w:szCs w:val="21"/>
                <w:lang w:val="en-US" w:eastAsia="zh-CN"/>
              </w:rPr>
              <w:t>较为详细的得1分，不详细或不符合要求的不得分</w:t>
            </w:r>
            <w:r>
              <w:rPr>
                <w:rFonts w:hint="eastAsia" w:ascii="微软雅黑" w:hAnsi="微软雅黑" w:eastAsia="微软雅黑" w:cs="微软雅黑"/>
                <w:b w:val="0"/>
                <w:bCs/>
                <w:spacing w:val="-6"/>
                <w:sz w:val="21"/>
                <w:szCs w:val="21"/>
                <w:lang w:eastAsia="zh-CN"/>
              </w:rPr>
              <w:t>；</w:t>
            </w:r>
          </w:p>
          <w:p>
            <w:pPr>
              <w:numPr>
                <w:ilvl w:val="0"/>
                <w:numId w:val="0"/>
              </w:numPr>
              <w:spacing w:line="360" w:lineRule="exact"/>
              <w:ind w:leftChars="0"/>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spacing w:val="-6"/>
                <w:sz w:val="21"/>
                <w:szCs w:val="21"/>
                <w:lang w:eastAsia="zh-CN"/>
              </w:rPr>
              <w:t>（3）安全文明施工措施；</w:t>
            </w:r>
            <w:r>
              <w:rPr>
                <w:rFonts w:hint="eastAsia" w:ascii="微软雅黑" w:hAnsi="微软雅黑" w:eastAsia="微软雅黑" w:cs="微软雅黑"/>
                <w:b w:val="0"/>
                <w:bCs/>
                <w:spacing w:val="-6"/>
                <w:sz w:val="21"/>
                <w:szCs w:val="21"/>
                <w:lang w:val="en-US" w:eastAsia="zh-CN"/>
              </w:rPr>
              <w:t>方案完善的得3</w:t>
            </w:r>
            <w:r>
              <w:rPr>
                <w:rFonts w:hint="eastAsia" w:ascii="微软雅黑" w:hAnsi="微软雅黑" w:eastAsia="微软雅黑" w:cs="微软雅黑"/>
                <w:b w:val="0"/>
                <w:bCs/>
                <w:spacing w:val="-6"/>
                <w:sz w:val="21"/>
                <w:szCs w:val="21"/>
                <w:lang w:eastAsia="zh-CN"/>
              </w:rPr>
              <w:t>分，</w:t>
            </w:r>
            <w:r>
              <w:rPr>
                <w:rFonts w:hint="eastAsia" w:ascii="微软雅黑" w:hAnsi="微软雅黑" w:eastAsia="微软雅黑" w:cs="微软雅黑"/>
                <w:b w:val="0"/>
                <w:bCs/>
                <w:spacing w:val="-6"/>
                <w:sz w:val="21"/>
                <w:szCs w:val="21"/>
                <w:lang w:val="en-US" w:eastAsia="zh-CN"/>
              </w:rPr>
              <w:t>较为详细的得1分，不详细或不符合要求的不得分</w:t>
            </w:r>
            <w:r>
              <w:rPr>
                <w:rFonts w:hint="eastAsia" w:ascii="微软雅黑" w:hAnsi="微软雅黑" w:eastAsia="微软雅黑" w:cs="微软雅黑"/>
                <w:b w:val="0"/>
                <w:bCs/>
                <w:spacing w:val="-6"/>
                <w:sz w:val="21"/>
                <w:szCs w:val="21"/>
                <w:lang w:eastAsia="zh-CN"/>
              </w:rPr>
              <w:t>。</w:t>
            </w:r>
          </w:p>
        </w:tc>
      </w:tr>
      <w:tr>
        <w:tblPrEx>
          <w:tblCellMar>
            <w:top w:w="0" w:type="dxa"/>
            <w:left w:w="108" w:type="dxa"/>
            <w:bottom w:w="0" w:type="dxa"/>
            <w:right w:w="108" w:type="dxa"/>
          </w:tblCellMar>
        </w:tblPrEx>
        <w:trPr>
          <w:trHeight w:val="777" w:hRule="atLeast"/>
          <w:jc w:val="center"/>
        </w:trPr>
        <w:tc>
          <w:tcPr>
            <w:tcW w:w="371"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88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lang w:eastAsia="zh-CN"/>
              </w:rPr>
            </w:pPr>
            <w:r>
              <w:rPr>
                <w:rFonts w:hint="eastAsia" w:ascii="微软雅黑" w:hAnsi="微软雅黑" w:eastAsia="微软雅黑" w:cs="微软雅黑"/>
                <w:b w:val="0"/>
                <w:bCs/>
                <w:spacing w:val="-6"/>
                <w:sz w:val="21"/>
                <w:szCs w:val="21"/>
                <w:highlight w:val="none"/>
                <w:lang w:eastAsia="zh-CN"/>
              </w:rPr>
              <w:t>施工材料</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eastAsia="zh-CN"/>
              </w:rPr>
              <w:t>近三年内承担的电力工程类项目情况、企业信誉（近三年内无违章情况）、管理水平、技术力量、资金情况、现场管理等。有一个为大型企事业单位安装空调主机（适用面积1000平米以上）得5分，满分20分。</w:t>
            </w:r>
          </w:p>
        </w:tc>
      </w:tr>
      <w:tr>
        <w:tblPrEx>
          <w:tblCellMar>
            <w:top w:w="0" w:type="dxa"/>
            <w:left w:w="108" w:type="dxa"/>
            <w:bottom w:w="0" w:type="dxa"/>
            <w:right w:w="108" w:type="dxa"/>
          </w:tblCellMar>
        </w:tblPrEx>
        <w:trPr>
          <w:trHeight w:val="840" w:hRule="atLeast"/>
          <w:jc w:val="center"/>
        </w:trPr>
        <w:tc>
          <w:tcPr>
            <w:tcW w:w="371"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88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rPr>
            </w:pPr>
            <w:r>
              <w:rPr>
                <w:rFonts w:hint="eastAsia" w:ascii="微软雅黑" w:hAnsi="微软雅黑" w:eastAsia="微软雅黑" w:cs="微软雅黑"/>
                <w:b w:val="0"/>
                <w:bCs/>
                <w:spacing w:val="-6"/>
                <w:sz w:val="21"/>
                <w:szCs w:val="21"/>
                <w:highlight w:val="none"/>
              </w:rPr>
              <w:t>工程质量保证措施</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eastAsia="zh-CN"/>
              </w:rPr>
              <w:t>（</w:t>
            </w:r>
            <w:r>
              <w:rPr>
                <w:rFonts w:hint="eastAsia" w:ascii="微软雅黑" w:hAnsi="微软雅黑" w:eastAsia="微软雅黑" w:cs="微软雅黑"/>
                <w:b w:val="0"/>
                <w:bCs/>
                <w:spacing w:val="-6"/>
                <w:sz w:val="21"/>
                <w:szCs w:val="21"/>
                <w:lang w:val="en-US" w:eastAsia="zh-CN"/>
              </w:rPr>
              <w:t>1</w:t>
            </w:r>
            <w:r>
              <w:rPr>
                <w:rFonts w:hint="eastAsia" w:ascii="微软雅黑" w:hAnsi="微软雅黑" w:eastAsia="微软雅黑" w:cs="微软雅黑"/>
                <w:b w:val="0"/>
                <w:bCs/>
                <w:spacing w:val="-6"/>
                <w:sz w:val="21"/>
                <w:szCs w:val="21"/>
                <w:lang w:eastAsia="zh-CN"/>
              </w:rPr>
              <w:t>）提供质量承诺及保障措施、承诺并对工期有承诺和违约经济处罚措施</w:t>
            </w:r>
          </w:p>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val="en-US" w:eastAsia="zh-CN"/>
              </w:rPr>
              <w:t>（2）提供</w:t>
            </w:r>
            <w:r>
              <w:rPr>
                <w:rFonts w:hint="eastAsia" w:ascii="微软雅黑" w:hAnsi="微软雅黑" w:eastAsia="微软雅黑" w:cs="微软雅黑"/>
                <w:b w:val="0"/>
                <w:bCs/>
                <w:spacing w:val="-6"/>
                <w:sz w:val="21"/>
                <w:szCs w:val="21"/>
                <w:lang w:eastAsia="zh-CN"/>
              </w:rPr>
              <w:t>完善的技术服务保障体系，</w:t>
            </w:r>
            <w:r>
              <w:rPr>
                <w:rFonts w:hint="eastAsia" w:ascii="微软雅黑" w:hAnsi="微软雅黑" w:eastAsia="微软雅黑" w:cs="微软雅黑"/>
                <w:b w:val="0"/>
                <w:bCs/>
                <w:spacing w:val="-6"/>
                <w:sz w:val="21"/>
                <w:szCs w:val="21"/>
                <w:lang w:val="en-US" w:eastAsia="zh-CN"/>
              </w:rPr>
              <w:t>并对技术</w:t>
            </w:r>
            <w:r>
              <w:rPr>
                <w:rFonts w:hint="eastAsia" w:ascii="微软雅黑" w:hAnsi="微软雅黑" w:eastAsia="微软雅黑" w:cs="微软雅黑"/>
                <w:b w:val="0"/>
                <w:bCs/>
                <w:spacing w:val="-6"/>
                <w:sz w:val="21"/>
                <w:szCs w:val="21"/>
                <w:lang w:eastAsia="zh-CN"/>
              </w:rPr>
              <w:t>服务</w:t>
            </w:r>
            <w:r>
              <w:rPr>
                <w:rFonts w:hint="eastAsia" w:ascii="微软雅黑" w:hAnsi="微软雅黑" w:eastAsia="微软雅黑" w:cs="微软雅黑"/>
                <w:b w:val="0"/>
                <w:bCs/>
                <w:spacing w:val="-6"/>
                <w:sz w:val="21"/>
                <w:szCs w:val="21"/>
                <w:lang w:val="en-US" w:eastAsia="zh-CN"/>
              </w:rPr>
              <w:t>保障体系的正常实施进行承诺</w:t>
            </w:r>
            <w:r>
              <w:rPr>
                <w:rFonts w:hint="eastAsia" w:ascii="微软雅黑" w:hAnsi="微软雅黑" w:eastAsia="微软雅黑" w:cs="微软雅黑"/>
                <w:b w:val="0"/>
                <w:bCs/>
                <w:spacing w:val="-6"/>
                <w:sz w:val="21"/>
                <w:szCs w:val="21"/>
                <w:lang w:eastAsia="zh-CN"/>
              </w:rPr>
              <w:t>。</w:t>
            </w:r>
          </w:p>
          <w:p>
            <w:pPr>
              <w:spacing w:line="360" w:lineRule="exact"/>
              <w:ind w:firstLine="396" w:firstLineChars="200"/>
              <w:jc w:val="left"/>
              <w:rPr>
                <w:rFonts w:hint="eastAsia"/>
              </w:rPr>
            </w:pPr>
            <w:r>
              <w:rPr>
                <w:rFonts w:hint="eastAsia" w:ascii="微软雅黑" w:hAnsi="微软雅黑" w:eastAsia="微软雅黑" w:cs="微软雅黑"/>
                <w:b w:val="0"/>
                <w:bCs/>
                <w:spacing w:val="-6"/>
                <w:sz w:val="21"/>
                <w:szCs w:val="21"/>
                <w:lang w:val="en-US" w:eastAsia="zh-CN"/>
              </w:rPr>
              <w:t>其中</w:t>
            </w:r>
            <w:r>
              <w:rPr>
                <w:rFonts w:hint="eastAsia" w:ascii="微软雅黑" w:hAnsi="微软雅黑" w:eastAsia="微软雅黑" w:cs="微软雅黑"/>
                <w:b w:val="0"/>
                <w:bCs/>
                <w:spacing w:val="-6"/>
                <w:sz w:val="21"/>
                <w:szCs w:val="21"/>
                <w:lang w:eastAsia="zh-CN"/>
              </w:rPr>
              <w:t>每一项完全满足以上要求的得</w:t>
            </w:r>
            <w:r>
              <w:rPr>
                <w:rFonts w:hint="eastAsia" w:ascii="微软雅黑" w:hAnsi="微软雅黑" w:eastAsia="微软雅黑" w:cs="微软雅黑"/>
                <w:b w:val="0"/>
                <w:bCs/>
                <w:spacing w:val="-6"/>
                <w:sz w:val="21"/>
                <w:szCs w:val="21"/>
                <w:lang w:val="en-US" w:eastAsia="zh-CN"/>
              </w:rPr>
              <w:t>5</w:t>
            </w:r>
            <w:r>
              <w:rPr>
                <w:rFonts w:hint="eastAsia" w:ascii="微软雅黑" w:hAnsi="微软雅黑" w:eastAsia="微软雅黑" w:cs="微软雅黑"/>
                <w:b w:val="0"/>
                <w:bCs/>
                <w:spacing w:val="-6"/>
                <w:sz w:val="21"/>
                <w:szCs w:val="21"/>
                <w:lang w:eastAsia="zh-CN"/>
              </w:rPr>
              <w:t>分，</w:t>
            </w:r>
            <w:r>
              <w:rPr>
                <w:rFonts w:hint="eastAsia" w:ascii="微软雅黑" w:hAnsi="微软雅黑" w:eastAsia="微软雅黑" w:cs="微软雅黑"/>
                <w:b w:val="0"/>
                <w:bCs/>
                <w:spacing w:val="-6"/>
                <w:sz w:val="21"/>
                <w:szCs w:val="21"/>
                <w:lang w:val="en-US" w:eastAsia="zh-CN"/>
              </w:rPr>
              <w:t>较为满足以上要求的得3分</w:t>
            </w:r>
            <w:r>
              <w:rPr>
                <w:rFonts w:hint="eastAsia" w:ascii="微软雅黑" w:hAnsi="微软雅黑" w:eastAsia="微软雅黑" w:cs="微软雅黑"/>
                <w:b w:val="0"/>
                <w:bCs/>
                <w:spacing w:val="-6"/>
                <w:sz w:val="21"/>
                <w:szCs w:val="21"/>
                <w:lang w:eastAsia="zh-CN"/>
              </w:rPr>
              <w:t>，存在缺陷或缺漏项的得</w:t>
            </w:r>
            <w:r>
              <w:rPr>
                <w:rFonts w:hint="eastAsia" w:ascii="微软雅黑" w:hAnsi="微软雅黑" w:eastAsia="微软雅黑" w:cs="微软雅黑"/>
                <w:b w:val="0"/>
                <w:bCs/>
                <w:spacing w:val="-6"/>
                <w:sz w:val="21"/>
                <w:szCs w:val="21"/>
                <w:lang w:val="en-US" w:eastAsia="zh-CN"/>
              </w:rPr>
              <w:t>1</w:t>
            </w:r>
            <w:r>
              <w:rPr>
                <w:rFonts w:hint="eastAsia" w:ascii="微软雅黑" w:hAnsi="微软雅黑" w:eastAsia="微软雅黑" w:cs="微软雅黑"/>
                <w:b w:val="0"/>
                <w:bCs/>
                <w:spacing w:val="-6"/>
                <w:sz w:val="21"/>
                <w:szCs w:val="21"/>
                <w:lang w:eastAsia="zh-CN"/>
              </w:rPr>
              <w:t>分，未响应或未提供的得0分，最多得</w:t>
            </w:r>
            <w:r>
              <w:rPr>
                <w:rFonts w:hint="eastAsia" w:ascii="微软雅黑" w:hAnsi="微软雅黑" w:eastAsia="微软雅黑" w:cs="微软雅黑"/>
                <w:b w:val="0"/>
                <w:bCs/>
                <w:spacing w:val="-6"/>
                <w:sz w:val="21"/>
                <w:szCs w:val="21"/>
                <w:lang w:val="en-US" w:eastAsia="zh-CN"/>
              </w:rPr>
              <w:t>10</w:t>
            </w:r>
            <w:r>
              <w:rPr>
                <w:rFonts w:hint="eastAsia" w:ascii="微软雅黑" w:hAnsi="微软雅黑" w:eastAsia="微软雅黑" w:cs="微软雅黑"/>
                <w:b w:val="0"/>
                <w:bCs/>
                <w:spacing w:val="-6"/>
                <w:sz w:val="21"/>
                <w:szCs w:val="21"/>
                <w:lang w:eastAsia="zh-CN"/>
              </w:rPr>
              <w:t>分。</w:t>
            </w:r>
          </w:p>
        </w:tc>
      </w:tr>
      <w:tr>
        <w:tblPrEx>
          <w:tblCellMar>
            <w:top w:w="0" w:type="dxa"/>
            <w:left w:w="108" w:type="dxa"/>
            <w:bottom w:w="0" w:type="dxa"/>
            <w:right w:w="108" w:type="dxa"/>
          </w:tblCellMar>
        </w:tblPrEx>
        <w:trPr>
          <w:trHeight w:val="663"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p>
            <w:pPr>
              <w:pStyle w:val="2"/>
              <w:rPr>
                <w:rFonts w:hint="default" w:eastAsia="微软雅黑"/>
                <w:lang w:val="en-US" w:eastAsia="zh-CN"/>
              </w:rPr>
            </w:pPr>
            <w:r>
              <w:rPr>
                <w:rFonts w:hint="eastAsia" w:ascii="微软雅黑" w:hAnsi="微软雅黑" w:eastAsia="微软雅黑" w:cs="微软雅黑"/>
                <w:b w:val="0"/>
                <w:bCs/>
                <w:kern w:val="0"/>
                <w:sz w:val="21"/>
                <w:szCs w:val="21"/>
                <w:lang w:val="en-US" w:eastAsia="zh-CN"/>
              </w:rPr>
              <w:t xml:space="preserve">  （30分）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60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满足采购文件要求且报价最低的投标报价为评标基准价，其价格分为满分。供应商的价格分统一按照下列公式计算：</w:t>
            </w:r>
          </w:p>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投标报价得分＝（评标基准价/投标报价）×价格分值</w:t>
            </w:r>
          </w:p>
        </w:tc>
      </w:tr>
      <w:tr>
        <w:tblPrEx>
          <w:tblCellMar>
            <w:top w:w="0" w:type="dxa"/>
            <w:left w:w="108" w:type="dxa"/>
            <w:bottom w:w="0" w:type="dxa"/>
            <w:right w:w="108" w:type="dxa"/>
          </w:tblCellMar>
        </w:tblPrEx>
        <w:trPr>
          <w:trHeight w:val="520"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color w:val="0070C0"/>
          <w:lang w:val="en-US" w:eastAsia="zh-CN"/>
        </w:rPr>
      </w:pPr>
      <w:r>
        <w:rPr>
          <w:rFonts w:hint="default"/>
          <w:color w:val="0070C0"/>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9"/>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2"/>
        <w:rPr>
          <w:rFonts w:ascii="仿宋" w:hAnsi="仿宋" w:eastAsia="仿宋" w:cs="微软雅黑"/>
          <w:sz w:val="28"/>
          <w:szCs w:val="28"/>
        </w:rPr>
      </w:pPr>
    </w:p>
    <w:p>
      <w:pPr>
        <w:pStyle w:val="12"/>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2"/>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2"/>
        <w:rPr>
          <w:rFonts w:ascii="仿宋" w:hAnsi="仿宋" w:eastAsia="仿宋" w:cs="微软雅黑"/>
          <w:b/>
          <w:sz w:val="30"/>
          <w:szCs w:val="30"/>
        </w:rPr>
      </w:pPr>
      <w:r>
        <w:rPr>
          <w:rFonts w:hint="eastAsia" w:ascii="仿宋" w:hAnsi="仿宋" w:eastAsia="仿宋" w:cs="微软雅黑"/>
          <w:b/>
          <w:sz w:val="30"/>
          <w:szCs w:val="30"/>
        </w:rPr>
        <w:t>项目名称：</w:t>
      </w:r>
    </w:p>
    <w:p>
      <w:pPr>
        <w:pStyle w:val="12"/>
        <w:rPr>
          <w:rFonts w:ascii="仿宋" w:hAnsi="仿宋" w:eastAsia="仿宋" w:cs="微软雅黑"/>
          <w:b/>
          <w:sz w:val="30"/>
          <w:szCs w:val="30"/>
        </w:rPr>
      </w:pPr>
    </w:p>
    <w:p>
      <w:pPr>
        <w:pStyle w:val="12"/>
        <w:rPr>
          <w:rFonts w:ascii="仿宋" w:hAnsi="仿宋" w:eastAsia="仿宋" w:cs="微软雅黑"/>
          <w:b/>
          <w:sz w:val="30"/>
          <w:szCs w:val="30"/>
        </w:rPr>
      </w:pPr>
    </w:p>
    <w:p>
      <w:pPr>
        <w:pStyle w:val="12"/>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2"/>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2"/>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2"/>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0"/>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3454"/>
      <w:bookmarkStart w:id="2"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8"/>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360120184"/>
      <w:bookmarkStart w:id="6" w:name="_Toc3488"/>
      <w:bookmarkStart w:id="7" w:name="_Toc424832832"/>
      <w:bookmarkStart w:id="8" w:name="_Toc43214900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7"/>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9"/>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28271_WPSOffice_Level2"/>
      <w:bookmarkStart w:id="15" w:name="_Toc16044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9"/>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4730"/>
      <w:bookmarkStart w:id="19" w:name="_Toc476839034"/>
      <w:bookmarkStart w:id="20" w:name="_Toc7229"/>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3"/>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2"/>
      </w:pPr>
    </w:p>
    <w:p>
      <w:pPr>
        <w:pStyle w:val="12"/>
      </w:pPr>
    </w:p>
    <w:p>
      <w:pPr>
        <w:pStyle w:val="13"/>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3"/>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3"/>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2"/>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9A5A6"/>
    <w:multiLevelType w:val="singleLevel"/>
    <w:tmpl w:val="F689A5A6"/>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3">
    <w:nsid w:val="1D0CA0C5"/>
    <w:multiLevelType w:val="singleLevel"/>
    <w:tmpl w:val="1D0CA0C5"/>
    <w:lvl w:ilvl="0" w:tentative="0">
      <w:start w:val="1"/>
      <w:numFmt w:val="decimal"/>
      <w:lvlText w:val="%1."/>
      <w:lvlJc w:val="left"/>
      <w:pPr>
        <w:ind w:left="425" w:hanging="425"/>
      </w:pPr>
      <w:rPr>
        <w:rFonts w:hint="default"/>
      </w:rPr>
    </w:lvl>
  </w:abstractNum>
  <w:abstractNum w:abstractNumId="4">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795206E7"/>
    <w:multiLevelType w:val="singleLevel"/>
    <w:tmpl w:val="795206E7"/>
    <w:lvl w:ilvl="0" w:tentative="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17B86DD4"/>
    <w:rsid w:val="1D1030AC"/>
    <w:rsid w:val="221E19EC"/>
    <w:rsid w:val="23432D40"/>
    <w:rsid w:val="256C7635"/>
    <w:rsid w:val="257C6BEF"/>
    <w:rsid w:val="26543C2E"/>
    <w:rsid w:val="274556FA"/>
    <w:rsid w:val="2AFB1A46"/>
    <w:rsid w:val="2C140AD4"/>
    <w:rsid w:val="2C3D0C5D"/>
    <w:rsid w:val="2CD258AD"/>
    <w:rsid w:val="2E020414"/>
    <w:rsid w:val="2EC76001"/>
    <w:rsid w:val="305A62E5"/>
    <w:rsid w:val="319137A2"/>
    <w:rsid w:val="32F02764"/>
    <w:rsid w:val="34D23E91"/>
    <w:rsid w:val="362E718F"/>
    <w:rsid w:val="38D92593"/>
    <w:rsid w:val="3A3A2866"/>
    <w:rsid w:val="3A4777B0"/>
    <w:rsid w:val="3C5E715D"/>
    <w:rsid w:val="3CB90A0D"/>
    <w:rsid w:val="3DCC3519"/>
    <w:rsid w:val="419B6A3A"/>
    <w:rsid w:val="42520F10"/>
    <w:rsid w:val="42E1448F"/>
    <w:rsid w:val="4AF013C9"/>
    <w:rsid w:val="4D376A08"/>
    <w:rsid w:val="4ECD1342"/>
    <w:rsid w:val="52325D6E"/>
    <w:rsid w:val="52664F79"/>
    <w:rsid w:val="52B646DC"/>
    <w:rsid w:val="586A0403"/>
    <w:rsid w:val="597015C7"/>
    <w:rsid w:val="602A5938"/>
    <w:rsid w:val="614F743B"/>
    <w:rsid w:val="623B5B62"/>
    <w:rsid w:val="63066872"/>
    <w:rsid w:val="64FE58CD"/>
    <w:rsid w:val="652F38F2"/>
    <w:rsid w:val="66AB742B"/>
    <w:rsid w:val="66FA7983"/>
    <w:rsid w:val="68743B4D"/>
    <w:rsid w:val="68D22881"/>
    <w:rsid w:val="6A2A45E1"/>
    <w:rsid w:val="6BDE45F3"/>
    <w:rsid w:val="6EB63F89"/>
    <w:rsid w:val="6EFC20F8"/>
    <w:rsid w:val="715B78C5"/>
    <w:rsid w:val="729149D6"/>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rFonts w:ascii="Tahoma" w:hAnsi="Tahoma"/>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8">
    <w:name w:val="toc 1"/>
    <w:basedOn w:val="1"/>
    <w:next w:val="1"/>
    <w:qFormat/>
    <w:uiPriority w:val="3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9</TotalTime>
  <ScaleCrop>false</ScaleCrop>
  <LinksUpToDate>false</LinksUpToDate>
  <CharactersWithSpaces>6919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2023-12-22T08:58:33Z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616149B0325E4795B48873E2CEFD0BFB</vt:lpwstr>
  </property>
</Properties>
</file>