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lang w:eastAsia="zh-CN"/>
        </w:rPr>
      </w:pPr>
    </w:p>
    <w:p>
      <w:pPr>
        <w:rPr>
          <w:rFonts w:hint="eastAsia" w:eastAsiaTheme="minorEastAsia"/>
          <w:b/>
          <w:bCs/>
          <w:lang w:eastAsia="zh-CN"/>
        </w:rPr>
      </w:pP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w:t>
      </w: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72"/>
          <w:szCs w:val="144"/>
          <w:u w:val="none"/>
          <w:lang w:val="en-US" w:eastAsia="zh-CN"/>
        </w:rPr>
      </w:pPr>
      <w:r>
        <w:rPr>
          <w:rFonts w:hint="eastAsia" w:ascii="微软雅黑" w:hAnsi="微软雅黑" w:eastAsia="微软雅黑" w:cs="微软雅黑"/>
          <w:b/>
          <w:bCs/>
          <w:sz w:val="72"/>
          <w:szCs w:val="144"/>
          <w:u w:val="none"/>
          <w:lang w:val="en-US" w:eastAsia="zh-CN"/>
        </w:rPr>
        <w:t>采购文件</w:t>
      </w:r>
    </w:p>
    <w:p>
      <w:pPr>
        <w:jc w:val="center"/>
        <w:rPr>
          <w:rFonts w:hint="eastAsia" w:ascii="微软雅黑" w:hAnsi="微软雅黑" w:eastAsia="微软雅黑" w:cs="微软雅黑"/>
          <w:b/>
          <w:bCs/>
          <w:color w:val="auto"/>
          <w:sz w:val="72"/>
          <w:szCs w:val="144"/>
          <w:u w:val="none"/>
          <w:lang w:val="en-US" w:eastAsia="zh-CN"/>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采购方式：</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项目类型：</w:t>
            </w:r>
          </w:p>
        </w:tc>
        <w:tc>
          <w:tcPr>
            <w:tcW w:w="5866" w:type="dxa"/>
          </w:tcPr>
          <w:p>
            <w:pPr>
              <w:jc w:val="left"/>
              <w:rPr>
                <w:rFonts w:hint="eastAsia" w:ascii="微软雅黑" w:hAnsi="微软雅黑" w:eastAsia="微软雅黑" w:cs="微软雅黑"/>
                <w:b/>
                <w:bCs/>
                <w:color w:val="auto"/>
                <w:sz w:val="28"/>
                <w:szCs w:val="28"/>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项目名称：</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2023南院区内科楼东侧路面平整及西大门门楼电梯工程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sz w:val="32"/>
                <w:szCs w:val="40"/>
                <w:u w:val="none"/>
                <w:lang w:val="en-US" w:eastAsia="zh-CN"/>
              </w:rPr>
              <w:t>项目编码：</w:t>
            </w:r>
          </w:p>
        </w:tc>
        <w:tc>
          <w:tcPr>
            <w:tcW w:w="5866" w:type="dxa"/>
          </w:tcPr>
          <w:p>
            <w:pPr>
              <w:jc w:val="left"/>
              <w:rPr>
                <w:rFonts w:hint="default" w:ascii="微软雅黑" w:hAnsi="微软雅黑" w:eastAsia="微软雅黑" w:cs="微软雅黑"/>
                <w:b/>
                <w:bCs/>
                <w:sz w:val="32"/>
                <w:szCs w:val="40"/>
                <w:u w:val="none"/>
                <w:lang w:val="en-US" w:eastAsia="zh-CN"/>
              </w:rPr>
            </w:pPr>
            <w:r>
              <w:rPr>
                <w:rFonts w:hint="default" w:ascii="微软雅黑" w:hAnsi="微软雅黑" w:eastAsia="微软雅黑" w:cs="微软雅黑"/>
                <w:b/>
                <w:bCs/>
                <w:sz w:val="32"/>
                <w:szCs w:val="40"/>
                <w:u w:val="none"/>
                <w:lang w:val="en-US" w:eastAsia="zh-CN"/>
              </w:rPr>
              <w:t>ZBB-2023-088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采购单位：</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default" w:ascii="微软雅黑" w:hAnsi="微软雅黑" w:eastAsia="微软雅黑" w:cs="微软雅黑"/>
                <w:b/>
                <w:bCs/>
                <w:sz w:val="32"/>
                <w:szCs w:val="40"/>
                <w:highlight w:val="none"/>
                <w:u w:val="none"/>
                <w:lang w:val="en-US" w:eastAsia="zh-CN"/>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采购日期：</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2023年12月14日</w:t>
            </w:r>
          </w:p>
        </w:tc>
      </w:tr>
    </w:tbl>
    <w:p>
      <w:pPr>
        <w:rPr>
          <w:rFonts w:hint="default" w:ascii="微软雅黑" w:hAnsi="微软雅黑" w:eastAsia="微软雅黑" w:cs="微软雅黑"/>
          <w:b/>
          <w:bCs/>
          <w:sz w:val="72"/>
          <w:szCs w:val="144"/>
          <w:u w:val="none"/>
          <w:lang w:val="en-US" w:eastAsia="zh-CN"/>
        </w:rPr>
      </w:pPr>
      <w:r>
        <w:rPr>
          <w:rFonts w:hint="default" w:ascii="微软雅黑" w:hAnsi="微软雅黑" w:eastAsia="微软雅黑" w:cs="微软雅黑"/>
          <w:b/>
          <w:bCs/>
          <w:sz w:val="72"/>
          <w:szCs w:val="144"/>
          <w:u w:val="none"/>
          <w:lang w:val="en-US" w:eastAsia="zh-CN"/>
        </w:rPr>
        <w:br w:type="page"/>
      </w:r>
    </w:p>
    <w:p>
      <w:pPr>
        <w:pStyle w:val="4"/>
        <w:bidi w:val="0"/>
        <w:jc w:val="center"/>
        <w:rPr>
          <w:rFonts w:hint="eastAsia" w:ascii="微软雅黑" w:hAnsi="微软雅黑" w:eastAsia="微软雅黑" w:cs="微软雅黑"/>
          <w:color w:val="auto"/>
          <w:sz w:val="32"/>
          <w:szCs w:val="24"/>
          <w:lang w:val="en-US" w:eastAsia="zh-CN"/>
        </w:rPr>
      </w:pPr>
      <w:r>
        <w:rPr>
          <w:rFonts w:hint="eastAsia" w:ascii="微软雅黑" w:hAnsi="微软雅黑" w:eastAsia="微软雅黑" w:cs="微软雅黑"/>
          <w:color w:val="auto"/>
          <w:sz w:val="32"/>
          <w:szCs w:val="24"/>
          <w:lang w:val="en-US" w:eastAsia="zh-CN"/>
        </w:rPr>
        <w:t>襄阳市中心医院院内采购项目采购文件</w:t>
      </w:r>
    </w:p>
    <w:p>
      <w:pPr>
        <w:pStyle w:val="4"/>
        <w:numPr>
          <w:ilvl w:val="0"/>
          <w:numId w:val="1"/>
        </w:numPr>
        <w:bidi w:val="0"/>
        <w:ind w:left="0" w:leftChars="0" w:firstLine="402" w:firstLineChars="0"/>
        <w:jc w:val="center"/>
        <w:rPr>
          <w:rFonts w:hint="eastAsia" w:ascii="微软雅黑" w:hAnsi="微软雅黑" w:eastAsia="微软雅黑" w:cs="微软雅黑"/>
          <w:color w:val="auto"/>
          <w:sz w:val="32"/>
          <w:szCs w:val="24"/>
          <w:lang w:val="en-US" w:eastAsia="zh-CN"/>
        </w:rPr>
      </w:pPr>
      <w:r>
        <w:rPr>
          <w:rFonts w:hint="eastAsia" w:ascii="微软雅黑" w:hAnsi="微软雅黑" w:eastAsia="微软雅黑" w:cs="微软雅黑"/>
          <w:color w:val="auto"/>
          <w:sz w:val="32"/>
          <w:szCs w:val="24"/>
          <w:lang w:val="en-US" w:eastAsia="zh-CN"/>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襄阳市中心医院拟对如下项目进行采购，现发布本采购公告（代采购邀请函），欢迎符合条件且诚意合作的供应商报名参与。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项目编码：ZBB-2023-088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color w:val="auto"/>
          <w:lang w:val="en-US" w:eastAsia="zh-CN"/>
        </w:rPr>
      </w:pPr>
      <w:r>
        <w:rPr>
          <w:rFonts w:hint="eastAsia" w:ascii="微软雅黑" w:hAnsi="微软雅黑" w:eastAsia="微软雅黑" w:cs="微软雅黑"/>
          <w:b w:val="0"/>
          <w:bCs w:val="0"/>
          <w:color w:val="auto"/>
          <w:lang w:val="en-US" w:eastAsia="zh-CN"/>
        </w:rPr>
        <w:t>项目名称：2023南院区内科楼东侧路面平整及西大门门楼电梯工程</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采购方式：竞争性磋商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预算金额：</w:t>
      </w:r>
      <w:r>
        <w:rPr>
          <w:rFonts w:hint="eastAsia" w:ascii="微软雅黑" w:hAnsi="微软雅黑" w:eastAsia="微软雅黑" w:cs="微软雅黑"/>
          <w:b w:val="0"/>
          <w:bCs w:val="0"/>
          <w:color w:val="auto"/>
          <w:u w:val="single"/>
          <w:lang w:val="en-US" w:eastAsia="zh-CN"/>
        </w:rPr>
        <w:t xml:space="preserve"> 396949.20   </w:t>
      </w:r>
      <w:r>
        <w:rPr>
          <w:rFonts w:hint="eastAsia" w:ascii="微软雅黑" w:hAnsi="微软雅黑" w:eastAsia="微软雅黑" w:cs="微软雅黑"/>
          <w:b w:val="0"/>
          <w:bCs w:val="0"/>
          <w:color w:val="auto"/>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最高限价：</w:t>
      </w:r>
      <w:r>
        <w:rPr>
          <w:rFonts w:hint="eastAsia" w:ascii="微软雅黑" w:hAnsi="微软雅黑" w:eastAsia="微软雅黑" w:cs="微软雅黑"/>
          <w:b w:val="0"/>
          <w:bCs w:val="0"/>
          <w:color w:val="auto"/>
          <w:u w:val="single"/>
          <w:lang w:val="en-US" w:eastAsia="zh-CN"/>
        </w:rPr>
        <w:t xml:space="preserve"> 396949.20   </w:t>
      </w:r>
      <w:r>
        <w:rPr>
          <w:rFonts w:hint="eastAsia" w:ascii="微软雅黑" w:hAnsi="微软雅黑" w:eastAsia="微软雅黑" w:cs="微软雅黑"/>
          <w:b w:val="0"/>
          <w:bCs w:val="0"/>
          <w:color w:val="auto"/>
          <w:lang w:val="en-US" w:eastAsia="zh-CN"/>
        </w:rPr>
        <w:t>元；</w:t>
      </w:r>
    </w:p>
    <w:p>
      <w:pPr>
        <w:keepNext w:val="0"/>
        <w:keepLines w:val="0"/>
        <w:widowControl/>
        <w:suppressLineNumbers w:val="0"/>
        <w:jc w:val="left"/>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采购需求：为改善病区环境，创造更好的就医体验，方便后续病人通行及抢救床进出二楼，需在西大门门楼岗亭处增设二层电梯，且拆除该处花坛，改为平台坡道，方便推动病床，具体内容详见图纸及工程清单附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合同履行期限：以正式合同为准。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本项目（是/否）接受联合体投标：否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本项目是否可采购进口产品：否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本项目（是/否）接受合同分包：是</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本项目（是/否）专门面向中小微企业：是</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满足《中华人民共和国政府采购法》第二十二条规定，即：</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具有独立承担民事责任的能力；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具有良好的商业信誉和健全的财务会计制度；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具有履行合同所必需的设备和专业技术能力；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有依法缴纳税收和社会保障资金的良好记录；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参加政府采购活动前三年内，在经营活动中没有重大违法记录；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未被列入失信被执行人、重大税收违法失信主体，未被列入政府采购严重违法失信行为记录名单。</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本项目特定资格要求：</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资质类要求：</w:t>
      </w:r>
      <w:r>
        <w:rPr>
          <w:rFonts w:hint="eastAsia" w:ascii="微软雅黑" w:hAnsi="微软雅黑" w:eastAsia="微软雅黑" w:cs="微软雅黑"/>
          <w:b w:val="0"/>
          <w:bCs w:val="0"/>
          <w:color w:val="auto"/>
          <w:sz w:val="21"/>
          <w:szCs w:val="21"/>
          <w:lang w:val="en-US" w:eastAsia="zh-CN"/>
        </w:rPr>
        <w:t>投标人应具备建筑工程总承包叁级（含叁级）以上施工资质（必备）和钢结构施工资质（必备），或特种设备（电梯）安装相关资质，需提供清晰的资质证书原件或复印件，资质文件二维码可扫描识别。</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若投标企业为中小微企业，请提供“中小微企业声明函”（格式详见附件）。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上述资格证明文件必须在有效期内，真实可靠、不得伪造。复印件必须加盖单位公章。</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供应商报名须知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报名时间：2023年12月15日0时0分起至2023年12月21日23时59分止。（逾期不予接收）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邮件报名。请供应商将报名资料盖章扫描后发送至招标办邮箱（3597509855@qq.com），报名时间以发送至招标办邮箱时间为准。如有疑问，可电话咨询招标办工作人员，工作人员对其进行指导。</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①供应商下载并填写附件“供应商报名资料模板”，资料加盖公章，并上传彩色扫描件，报名文件为PDF格式，文件名以（项目编号+项目名称）+单位全称形式命名投标人；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②供应商下载并填写附件“供应商报名登记表”，以表格形式提交。</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供应商投标须知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开标及递交文件截止时间：开标当日上午9:00或下午15:00，具体以采购人电话通知时间为准（0710-3520178）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递交响应文件注意事项：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开标地点：襄阳市中心医院东津院区门诊医技楼D2区四楼4号会议室（暂定，如有更改，采购人会以电话0710-3520178通知）</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供应商其他注意事项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要求提供样品的项目，供应商必须与响应文件一同提交样品，否则视为弃权。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联系方式</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招标办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color w:val="auto"/>
          <w:lang w:val="en-US" w:eastAsia="zh-CN"/>
        </w:rPr>
      </w:pPr>
      <w:r>
        <w:rPr>
          <w:rFonts w:hint="eastAsia" w:ascii="微软雅黑" w:hAnsi="微软雅黑" w:eastAsia="微软雅黑" w:cs="微软雅黑"/>
          <w:b w:val="0"/>
          <w:bCs w:val="0"/>
          <w:color w:val="auto"/>
          <w:lang w:val="en-US" w:eastAsia="zh-CN"/>
        </w:rPr>
        <w:t>地址：襄阳市中心医院东津院区门诊医技楼D2区四楼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w:t>
      </w:r>
      <w:r>
        <w:rPr>
          <w:rFonts w:hint="eastAsia" w:ascii="微软雅黑" w:hAnsi="微软雅黑" w:eastAsia="微软雅黑" w:cs="微软雅黑"/>
          <w:b w:val="0"/>
          <w:bCs w:val="0"/>
          <w:color w:val="auto"/>
          <w:lang w:val="en-US" w:eastAsia="zh-CN"/>
        </w:rPr>
        <w:t>姚老师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w:t>
      </w:r>
      <w:r>
        <w:rPr>
          <w:rFonts w:hint="eastAsia" w:ascii="微软雅黑" w:hAnsi="微软雅黑" w:eastAsia="微软雅黑" w:cs="微软雅黑"/>
          <w:b w:val="0"/>
          <w:bCs w:val="0"/>
          <w:color w:val="auto"/>
          <w:lang w:val="en-US" w:eastAsia="zh-CN"/>
        </w:rPr>
        <w:t>0710-3512060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0070C0"/>
          <w:lang w:val="en-US" w:eastAsia="zh-CN"/>
        </w:rPr>
      </w:pPr>
    </w:p>
    <w:p>
      <w:pPr>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供应商须知</w:t>
      </w:r>
    </w:p>
    <w:p>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供应商应严格按照本采购文件及须知要求进行响应，否则采购人有权否决</w:t>
      </w:r>
    </w:p>
    <w:tbl>
      <w:tblPr>
        <w:tblStyle w:val="1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需要提交；</w:t>
            </w: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auto"/>
                <w:lang w:val="en-US" w:eastAsia="zh-CN"/>
              </w:rPr>
            </w:pPr>
            <w:r>
              <w:rPr>
                <w:rFonts w:hint="eastAsia" w:ascii="微软雅黑" w:hAnsi="微软雅黑" w:eastAsia="微软雅黑" w:cs="微软雅黑"/>
                <w:color w:val="auto"/>
                <w:sz w:val="21"/>
                <w:szCs w:val="21"/>
                <w:vertAlign w:val="baseline"/>
                <w:lang w:val="en-US" w:eastAsia="zh-CN"/>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综合评价；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最低价；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本采购文件解释权归襄阳市中心医院所有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若供应商认为采购过程和中标结果使自己的合法权益受到损害，可在项目结果公示期内以书面形式向采购人提出质疑并要求答复，但答复的内容不得涉及商业秘密。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是；</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无</w:t>
            </w:r>
          </w:p>
        </w:tc>
      </w:tr>
    </w:tbl>
    <w:p>
      <w:pPr>
        <w:rPr>
          <w:rFonts w:hint="default" w:ascii="微软雅黑" w:hAnsi="微软雅黑" w:eastAsia="微软雅黑" w:cs="微软雅黑"/>
          <w:b w:val="0"/>
          <w:bCs w:val="0"/>
          <w:color w:val="auto"/>
          <w:sz w:val="21"/>
          <w:szCs w:val="21"/>
          <w:lang w:val="en-US" w:eastAsia="zh-CN"/>
        </w:rPr>
      </w:pPr>
      <w:r>
        <w:rPr>
          <w:rFonts w:hint="default" w:ascii="微软雅黑" w:hAnsi="微软雅黑" w:eastAsia="微软雅黑" w:cs="微软雅黑"/>
          <w:b w:val="0"/>
          <w:bCs w:val="0"/>
          <w:color w:val="auto"/>
          <w:sz w:val="21"/>
          <w:szCs w:val="21"/>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color w:val="auto"/>
          <w:sz w:val="32"/>
          <w:szCs w:val="24"/>
          <w:lang w:val="en-US" w:eastAsia="zh-CN"/>
        </w:rPr>
      </w:pPr>
      <w:r>
        <w:rPr>
          <w:rFonts w:hint="eastAsia" w:ascii="微软雅黑" w:hAnsi="微软雅黑" w:eastAsia="微软雅黑" w:cs="微软雅黑"/>
          <w:b/>
          <w:color w:val="auto"/>
          <w:sz w:val="32"/>
          <w:szCs w:val="24"/>
          <w:lang w:val="en-US" w:eastAsia="zh-CN"/>
        </w:rPr>
        <w:t>采购需求 （本章按项目情况编制）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工程内容、工程施工管理要求、工程施工材料品牌要求、预算工程量清单详见附件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技术或服务要求</w:t>
      </w:r>
    </w:p>
    <w:p>
      <w:pPr>
        <w:pStyle w:val="10"/>
        <w:numPr>
          <w:ilvl w:val="2"/>
          <w:numId w:val="1"/>
        </w:numPr>
        <w:ind w:left="0" w:leftChars="0" w:firstLine="402" w:firstLineChars="0"/>
        <w:rPr>
          <w:rFonts w:hint="default"/>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施工方需保证施工现场的安全性，如出现安全问题由施工方负责。</w:t>
      </w:r>
    </w:p>
    <w:p>
      <w:pPr>
        <w:pStyle w:val="11"/>
        <w:numPr>
          <w:ilvl w:val="2"/>
          <w:numId w:val="1"/>
        </w:numPr>
        <w:ind w:left="0" w:leftChars="0" w:firstLine="402" w:firstLineChars="0"/>
        <w:rPr>
          <w:rFonts w:hint="default"/>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施工项目经理须保证专人负责，不得中途缺位，更换。</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商务要求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项目承诺书、报价单等书面承诺必须有公司受托人签字。</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投标报价：</w:t>
      </w:r>
      <w:r>
        <w:rPr>
          <w:rFonts w:hint="eastAsia" w:ascii="微软雅黑" w:hAnsi="微软雅黑" w:eastAsia="微软雅黑" w:cs="微软雅黑"/>
          <w:b w:val="0"/>
          <w:bCs w:val="0"/>
          <w:color w:val="auto"/>
          <w:sz w:val="21"/>
          <w:szCs w:val="21"/>
          <w:vertAlign w:val="baseline"/>
          <w:lang w:val="en-US" w:eastAsia="zh-CN"/>
        </w:rPr>
        <w:t>投标报价是招标文件所确定的招标范围内的全部工作内容的价格体现。包括施工设备、劳务、管理、材料、安装、维护、利润、税金及政策性文件规定的各项应有费用，投标综合单价中也应包括为完成该项工作所需发生的垃圾清运、卫生保洁、脚手架搭拆等措施费。投标报价参照《工程量清单项目计量规范（2013-湖北）》及《湖北省房屋建筑与装饰工程消耗量定额及全费用基价表（2018）》计价后按市场价报价。</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投标人应按照招标文件、工程量清单、施工组织设计、企业定额或参照建设行政主管部门发布的工程消耗量定额、费用定额及计价办法或参照工程造价管理机构发布的人工、材料、机械市场价格信息，并应充分考虑施工期间各类建材的市场风险和国家政策性风险，进行自主报价。风险由投标人承担。</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如果投标报价出现清单漏项、少计，乙方在投标报价前没有提出，则视为本固定总价已包括上述全部内容，结算时不予调整。</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工程款的支付</w:t>
      </w:r>
      <w:r>
        <w:rPr>
          <w:rFonts w:hint="eastAsia" w:ascii="微软雅黑" w:hAnsi="微软雅黑" w:eastAsia="微软雅黑" w:cs="微软雅黑"/>
          <w:b w:val="0"/>
          <w:bCs w:val="0"/>
          <w:color w:val="auto"/>
          <w:sz w:val="21"/>
          <w:szCs w:val="21"/>
          <w:vertAlign w:val="baseline"/>
          <w:lang w:val="en-US" w:eastAsia="zh-CN"/>
        </w:rPr>
        <w:t>：工程竣工验收合格，乙方申报工程决算，甲方委托中介机构或政府相关部门审计完毕、出具正式审计报告；甲方在收到乙方出具的全额发票后，以审计报告出具时间为起点展期3个月后支付到结算价款的97%，余工程结算价款的 3%作为质保金，在质保期满后一次性无息支付。</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结算审计费用支付</w:t>
      </w:r>
      <w:r>
        <w:rPr>
          <w:rFonts w:hint="eastAsia" w:ascii="微软雅黑" w:hAnsi="微软雅黑" w:eastAsia="微软雅黑" w:cs="微软雅黑"/>
          <w:b w:val="0"/>
          <w:bCs w:val="0"/>
          <w:color w:val="auto"/>
          <w:sz w:val="21"/>
          <w:szCs w:val="21"/>
          <w:vertAlign w:val="baseline"/>
          <w:lang w:val="en-US" w:eastAsia="zh-CN"/>
        </w:rPr>
        <w:t>:乙方应实事求是编制竣工预算，中介机构审计后审减率5%以内（不含5%）的审计费由甲方支付；审减率5%-10%（含5%，不含10%）时审计费用由双方各承担50%，审减率超过10%（含10%）时，所有审计费用由乙方全额支付。</w:t>
      </w:r>
    </w:p>
    <w:p>
      <w:pPr>
        <w:pStyle w:val="10"/>
        <w:numPr>
          <w:ilvl w:val="2"/>
          <w:numId w:val="1"/>
        </w:numPr>
        <w:ind w:left="0" w:leftChars="0" w:firstLine="402" w:firstLineChars="0"/>
        <w:rPr>
          <w:rFonts w:hint="default"/>
          <w:lang w:val="en-US" w:eastAsia="zh-CN"/>
        </w:rPr>
      </w:pPr>
      <w:r>
        <w:rPr>
          <w:rFonts w:hint="eastAsia" w:ascii="微软雅黑" w:hAnsi="微软雅黑" w:eastAsia="微软雅黑" w:cs="微软雅黑"/>
          <w:b/>
          <w:bCs/>
          <w:color w:val="auto"/>
          <w:sz w:val="21"/>
          <w:szCs w:val="21"/>
          <w:vertAlign w:val="baseline"/>
          <w:lang w:val="en-US" w:eastAsia="zh-CN"/>
        </w:rPr>
        <w:t>工期要求</w:t>
      </w:r>
      <w:r>
        <w:rPr>
          <w:rFonts w:hint="eastAsia" w:ascii="微软雅黑" w:hAnsi="微软雅黑" w:eastAsia="微软雅黑" w:cs="微软雅黑"/>
          <w:b w:val="0"/>
          <w:bCs w:val="0"/>
          <w:color w:val="auto"/>
          <w:sz w:val="21"/>
          <w:szCs w:val="21"/>
          <w:vertAlign w:val="baseline"/>
          <w:lang w:val="en-US" w:eastAsia="zh-CN"/>
        </w:rPr>
        <w:t>：</w:t>
      </w:r>
      <w:r>
        <w:rPr>
          <w:rFonts w:hint="eastAsia" w:ascii="微软雅黑" w:hAnsi="微软雅黑" w:eastAsia="微软雅黑" w:cs="微软雅黑"/>
          <w:b w:val="0"/>
          <w:bCs w:val="0"/>
          <w:color w:val="auto"/>
          <w:sz w:val="21"/>
          <w:szCs w:val="21"/>
          <w:u w:val="single"/>
          <w:vertAlign w:val="baseline"/>
          <w:lang w:val="en-US" w:eastAsia="zh-CN"/>
        </w:rPr>
        <w:t>45</w:t>
      </w:r>
      <w:r>
        <w:rPr>
          <w:rFonts w:hint="eastAsia" w:ascii="微软雅黑" w:hAnsi="微软雅黑" w:eastAsia="微软雅黑" w:cs="微软雅黑"/>
          <w:b w:val="0"/>
          <w:bCs w:val="0"/>
          <w:color w:val="auto"/>
          <w:sz w:val="21"/>
          <w:szCs w:val="21"/>
          <w:vertAlign w:val="baseline"/>
          <w:lang w:val="en-US" w:eastAsia="zh-CN"/>
        </w:rPr>
        <w:t>日历天。</w:t>
      </w:r>
    </w:p>
    <w:p>
      <w:pPr>
        <w:pStyle w:val="10"/>
        <w:numPr>
          <w:ilvl w:val="2"/>
          <w:numId w:val="1"/>
        </w:numPr>
        <w:ind w:left="0" w:leftChars="0" w:firstLine="402" w:firstLineChars="0"/>
        <w:rPr>
          <w:rFonts w:hint="default"/>
          <w:lang w:val="en-US" w:eastAsia="zh-CN"/>
        </w:rPr>
      </w:pPr>
      <w:r>
        <w:rPr>
          <w:rFonts w:hint="eastAsia" w:ascii="微软雅黑" w:hAnsi="微软雅黑" w:eastAsia="微软雅黑" w:cs="微软雅黑"/>
          <w:b/>
          <w:bCs/>
          <w:color w:val="auto"/>
          <w:sz w:val="21"/>
          <w:szCs w:val="21"/>
          <w:vertAlign w:val="baseline"/>
          <w:lang w:val="en-US" w:eastAsia="zh-CN"/>
        </w:rPr>
        <w:t>质保期要求</w:t>
      </w:r>
      <w:r>
        <w:rPr>
          <w:rFonts w:hint="eastAsia" w:ascii="微软雅黑" w:hAnsi="微软雅黑" w:eastAsia="微软雅黑" w:cs="微软雅黑"/>
          <w:b w:val="0"/>
          <w:bCs w:val="0"/>
          <w:color w:val="auto"/>
          <w:sz w:val="21"/>
          <w:szCs w:val="21"/>
          <w:vertAlign w:val="baseline"/>
          <w:lang w:val="en-US" w:eastAsia="zh-CN"/>
        </w:rPr>
        <w:t>：防水工程5年，其余装修内容2年，结构工程按相关法规执行。</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其他要求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工程为全承包方式。施工内容包括清单内及施工图中标注的全部工程内容。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lang w:val="en-US" w:eastAsia="zh-CN"/>
        </w:rPr>
      </w:pPr>
      <w:r>
        <w:rPr>
          <w:rFonts w:hint="eastAsia" w:ascii="微软雅黑" w:hAnsi="微软雅黑" w:eastAsia="微软雅黑" w:cs="微软雅黑"/>
          <w:b w:val="0"/>
          <w:bCs w:val="0"/>
          <w:color w:val="auto"/>
          <w:sz w:val="21"/>
          <w:szCs w:val="21"/>
          <w:vertAlign w:val="baseline"/>
          <w:lang w:val="en-US" w:eastAsia="zh-CN"/>
        </w:rPr>
        <w:t>工程质量标准:合格标准。质量标准的评定以国家或行业的质量检验评定标准为依据。施工方须严格按照国家相关的规范、标准进行施工，须保证工程质量达到国家规范的验收标准。选用的建筑装饰材料必须符合国家检测及验收标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标书要求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lang w:val="en-US" w:eastAsia="zh-CN"/>
        </w:rPr>
      </w:pPr>
      <w:r>
        <w:rPr>
          <w:rFonts w:hint="eastAsia" w:ascii="微软雅黑" w:hAnsi="微软雅黑" w:eastAsia="微软雅黑" w:cs="微软雅黑"/>
          <w:b w:val="0"/>
          <w:bCs w:val="0"/>
          <w:color w:val="auto"/>
          <w:sz w:val="21"/>
          <w:szCs w:val="21"/>
          <w:vertAlign w:val="baseline"/>
          <w:lang w:val="en-US" w:eastAsia="zh-CN"/>
        </w:rPr>
        <w:t>标书需提供五套，一正四副。标书须包含以下内容: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标书目录（注意标明页码）</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投标函</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报价表（院方配置需求响应表）</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*主材要求（响应院方要求的品牌、型号及技术参数）</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法定代表人身份证明（含法人身份证正反面复印件）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授权委托书（格式详见附件）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资格审查资料（含营业执照、资质证书、注册证、生产许可证、开户许可证、征信证明等）</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项目方案</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*公司财务状况（近三年经会计事务所提供的财务报告）</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*业绩情况（近三年类似项目合同原件扫描件）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其他事项</w:t>
      </w:r>
    </w:p>
    <w:p>
      <w:pPr>
        <w:rPr>
          <w:rFonts w:hint="default" w:ascii="微软雅黑" w:hAnsi="微软雅黑" w:eastAsia="微软雅黑" w:cs="微软雅黑"/>
          <w:b w:val="0"/>
          <w:bCs w:val="0"/>
          <w:color w:val="auto"/>
          <w:sz w:val="21"/>
          <w:szCs w:val="21"/>
          <w:vertAlign w:val="baseline"/>
          <w:lang w:val="en-US" w:eastAsia="zh-CN"/>
        </w:rPr>
      </w:pPr>
      <w:r>
        <w:rPr>
          <w:rFonts w:hint="default" w:ascii="微软雅黑" w:hAnsi="微软雅黑" w:eastAsia="微软雅黑" w:cs="微软雅黑"/>
          <w:b w:val="0"/>
          <w:bCs w:val="0"/>
          <w:color w:val="auto"/>
          <w:sz w:val="21"/>
          <w:szCs w:val="21"/>
          <w:vertAlign w:val="baseline"/>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评标办法</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bookmarkStart w:id="0" w:name="_Toc29038"/>
      <w:r>
        <w:rPr>
          <w:rFonts w:hint="eastAsia" w:ascii="微软雅黑" w:hAnsi="微软雅黑" w:eastAsia="微软雅黑" w:cs="微软雅黑"/>
          <w:b/>
          <w:bCs/>
          <w:lang w:val="en-US" w:eastAsia="zh-CN"/>
        </w:rPr>
        <w:t>初步评审</w:t>
      </w:r>
      <w:bookmarkEnd w:id="0"/>
    </w:p>
    <w:tbl>
      <w:tblPr>
        <w:tblStyle w:val="13"/>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审查内容</w:t>
            </w:r>
          </w:p>
        </w:tc>
        <w:tc>
          <w:tcPr>
            <w:tcW w:w="6284" w:type="dxa"/>
            <w:tcBorders>
              <w:lef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sz w:val="24"/>
                <w:szCs w:val="24"/>
              </w:rPr>
            </w:pPr>
            <w:r>
              <w:rPr>
                <w:rFonts w:hint="eastAsia" w:ascii="仿宋" w:hAnsi="仿宋" w:eastAsia="仿宋"/>
                <w:b/>
                <w:sz w:val="24"/>
                <w:szCs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具有独立承担民事责任的能力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(1)提供具备满足本项目的设施设备的证明材料；</w:t>
            </w:r>
          </w:p>
          <w:p>
            <w:pPr>
              <w:spacing w:line="320" w:lineRule="exact"/>
              <w:rPr>
                <w:rFonts w:ascii="仿宋" w:hAnsi="仿宋" w:eastAsia="仿宋"/>
                <w:sz w:val="24"/>
                <w:szCs w:val="24"/>
              </w:rPr>
            </w:pPr>
            <w:r>
              <w:rPr>
                <w:rFonts w:hint="eastAsia" w:ascii="仿宋" w:hAnsi="仿宋" w:eastAsia="仿宋"/>
                <w:sz w:val="24"/>
                <w:szCs w:val="24"/>
              </w:rPr>
              <w:t>(2)提供具备满足本项目的技术、服务人员的证明材料；</w:t>
            </w:r>
          </w:p>
          <w:p>
            <w:pPr>
              <w:spacing w:line="320" w:lineRule="exact"/>
              <w:rPr>
                <w:rFonts w:ascii="仿宋" w:hAnsi="仿宋" w:eastAsia="仿宋"/>
                <w:sz w:val="24"/>
                <w:szCs w:val="24"/>
                <w:highlight w:val="yellow"/>
              </w:rPr>
            </w:pPr>
            <w:r>
              <w:rPr>
                <w:rFonts w:hint="eastAsia" w:ascii="仿宋" w:hAnsi="仿宋" w:eastAsia="仿宋"/>
                <w:sz w:val="24"/>
                <w:szCs w:val="24"/>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sz w:val="24"/>
                <w:szCs w:val="24"/>
                <w:lang w:val="zh-CN"/>
              </w:rPr>
            </w:pPr>
            <w:r>
              <w:rPr>
                <w:rFonts w:hint="eastAsia" w:ascii="仿宋" w:hAnsi="仿宋" w:eastAsia="仿宋"/>
                <w:sz w:val="24"/>
                <w:szCs w:val="24"/>
              </w:rPr>
              <w:t>(1)提供近一段时间</w:t>
            </w:r>
            <w:r>
              <w:rPr>
                <w:rFonts w:hint="eastAsia" w:ascii="仿宋" w:hAnsi="仿宋" w:eastAsia="仿宋"/>
                <w:sz w:val="24"/>
                <w:szCs w:val="24"/>
                <w:lang w:val="zh-CN"/>
              </w:rPr>
              <w:t>缴纳税收的凭据；</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lang w:val="zh-CN"/>
              </w:rPr>
              <w:t>(2)</w:t>
            </w:r>
            <w:r>
              <w:rPr>
                <w:rFonts w:hint="eastAsia" w:ascii="仿宋" w:hAnsi="仿宋" w:eastAsia="仿宋"/>
                <w:sz w:val="24"/>
                <w:szCs w:val="24"/>
              </w:rPr>
              <w:t>提供近一段时间</w:t>
            </w:r>
            <w:r>
              <w:rPr>
                <w:rFonts w:hint="eastAsia" w:ascii="仿宋" w:hAnsi="仿宋" w:eastAsia="仿宋"/>
                <w:sz w:val="24"/>
                <w:szCs w:val="24"/>
                <w:lang w:val="zh-CN"/>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sz w:val="24"/>
                <w:szCs w:val="24"/>
                <w:highlight w:val="yellow"/>
              </w:rPr>
            </w:pPr>
            <w:r>
              <w:rPr>
                <w:rFonts w:hint="eastAsia" w:ascii="仿宋" w:hAnsi="仿宋" w:eastAsia="仿宋"/>
                <w:sz w:val="24"/>
                <w:szCs w:val="24"/>
              </w:rPr>
              <w:t>提供承诺书，</w:t>
            </w:r>
            <w:r>
              <w:rPr>
                <w:rFonts w:hint="eastAsia" w:ascii="仿宋" w:hAnsi="仿宋" w:eastAsia="仿宋"/>
                <w:sz w:val="24"/>
                <w:szCs w:val="24"/>
                <w:lang w:val="zh-CN"/>
              </w:rPr>
              <w:t>格式详见</w:t>
            </w:r>
            <w:r>
              <w:rPr>
                <w:rFonts w:hint="eastAsia" w:ascii="仿宋" w:hAnsi="仿宋" w:eastAsia="仿宋"/>
                <w:sz w:val="24"/>
                <w:szCs w:val="24"/>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法律、行政法规规定的其他条件</w:t>
            </w:r>
          </w:p>
        </w:tc>
        <w:tc>
          <w:tcPr>
            <w:tcW w:w="6284" w:type="dxa"/>
            <w:tcBorders>
              <w:left w:val="single" w:color="auto" w:sz="4" w:space="0"/>
            </w:tcBorders>
            <w:vAlign w:val="center"/>
          </w:tcPr>
          <w:p>
            <w:pPr>
              <w:spacing w:line="320" w:lineRule="exact"/>
              <w:rPr>
                <w:rFonts w:ascii="仿宋" w:hAnsi="仿宋" w:eastAsia="仿宋"/>
                <w:sz w:val="24"/>
                <w:szCs w:val="24"/>
                <w:highlight w:val="yellow"/>
              </w:rPr>
            </w:pPr>
            <w:r>
              <w:rPr>
                <w:rFonts w:hint="eastAsia" w:ascii="仿宋" w:hAnsi="仿宋" w:eastAsia="仿宋"/>
                <w:sz w:val="24"/>
                <w:szCs w:val="24"/>
                <w:lang w:val="zh-CN"/>
              </w:rPr>
              <w:t>（</w:t>
            </w:r>
            <w:r>
              <w:rPr>
                <w:rFonts w:hint="eastAsia" w:ascii="仿宋" w:hAnsi="仿宋" w:eastAsia="仿宋"/>
                <w:sz w:val="24"/>
                <w:szCs w:val="24"/>
              </w:rPr>
              <w:t>供应商主动自行提供）</w:t>
            </w:r>
            <w:r>
              <w:rPr>
                <w:rFonts w:hint="eastAsia" w:ascii="仿宋" w:hAnsi="仿宋" w:eastAsia="仿宋"/>
                <w:sz w:val="24"/>
                <w:szCs w:val="24"/>
                <w:lang w:val="zh-CN"/>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禁止参加情况</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(1)单位负责人为同一人或者存在直接控股、管理关系的不同投标人，不得参加本项目同一合同项下的政府采购活动。</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主体信用记录</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sz w:val="24"/>
                <w:szCs w:val="24"/>
              </w:rPr>
              <w:t>特定资格条件</w:t>
            </w:r>
          </w:p>
        </w:tc>
        <w:tc>
          <w:tcPr>
            <w:tcW w:w="6284" w:type="dxa"/>
            <w:tcBorders>
              <w:lef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color w:val="FF0000"/>
                <w:sz w:val="24"/>
                <w:szCs w:val="24"/>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身份证明</w:t>
            </w:r>
            <w:r>
              <w:rPr>
                <w:rFonts w:hint="eastAsia" w:ascii="仿宋" w:hAnsi="仿宋" w:eastAsia="仿宋"/>
                <w:sz w:val="24"/>
                <w:szCs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每一种采购内容只有一个报价</w:t>
            </w:r>
            <w:r>
              <w:rPr>
                <w:rFonts w:hint="eastAsia" w:ascii="仿宋" w:hAnsi="仿宋" w:eastAsia="仿宋"/>
                <w:sz w:val="24"/>
                <w:szCs w:val="24"/>
              </w:rPr>
              <w:t>；</w:t>
            </w:r>
            <w:r>
              <w:rPr>
                <w:rFonts w:hint="eastAsia" w:ascii="仿宋" w:hAnsi="仿宋" w:eastAsia="仿宋" w:cs="微软雅黑"/>
                <w:kern w:val="0"/>
                <w:sz w:val="24"/>
                <w:szCs w:val="24"/>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cs="微软雅黑"/>
                <w:b/>
                <w:bCs/>
                <w:kern w:val="0"/>
                <w:sz w:val="24"/>
                <w:szCs w:val="24"/>
              </w:rPr>
              <w:t>*</w:t>
            </w:r>
            <w:r>
              <w:rPr>
                <w:rFonts w:hint="eastAsia" w:ascii="仿宋" w:hAnsi="仿宋" w:eastAsia="仿宋" w:cs="微软雅黑"/>
                <w:kern w:val="0"/>
                <w:sz w:val="24"/>
                <w:szCs w:val="24"/>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符合法律、法规和采购文件中规定的其他实质性内容的</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详细评分办法（详细评分表）</w:t>
      </w:r>
    </w:p>
    <w:tbl>
      <w:tblPr>
        <w:tblStyle w:val="13"/>
        <w:tblW w:w="9156" w:type="dxa"/>
        <w:jc w:val="center"/>
        <w:tblLayout w:type="fixed"/>
        <w:tblCellMar>
          <w:top w:w="0" w:type="dxa"/>
          <w:left w:w="108" w:type="dxa"/>
          <w:bottom w:w="0" w:type="dxa"/>
          <w:right w:w="108" w:type="dxa"/>
        </w:tblCellMar>
      </w:tblPr>
      <w:tblGrid>
        <w:gridCol w:w="470"/>
        <w:gridCol w:w="645"/>
        <w:gridCol w:w="1411"/>
        <w:gridCol w:w="668"/>
        <w:gridCol w:w="5962"/>
      </w:tblGrid>
      <w:tr>
        <w:tblPrEx>
          <w:tblCellMar>
            <w:top w:w="0" w:type="dxa"/>
            <w:left w:w="108" w:type="dxa"/>
            <w:bottom w:w="0" w:type="dxa"/>
            <w:right w:w="108" w:type="dxa"/>
          </w:tblCellMar>
        </w:tblPrEx>
        <w:trPr>
          <w:trHeight w:val="270" w:hRule="atLeast"/>
          <w:jc w:val="center"/>
        </w:trPr>
        <w:tc>
          <w:tcPr>
            <w:tcW w:w="47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项目</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评审因素</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分值</w:t>
            </w:r>
          </w:p>
        </w:tc>
        <w:tc>
          <w:tcPr>
            <w:tcW w:w="59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评审标准</w:t>
            </w:r>
          </w:p>
        </w:tc>
      </w:tr>
      <w:tr>
        <w:tblPrEx>
          <w:tblCellMar>
            <w:top w:w="0" w:type="dxa"/>
            <w:left w:w="108" w:type="dxa"/>
            <w:bottom w:w="0" w:type="dxa"/>
            <w:right w:w="108" w:type="dxa"/>
          </w:tblCellMar>
        </w:tblPrEx>
        <w:trPr>
          <w:trHeight w:val="981" w:hRule="atLeast"/>
          <w:jc w:val="center"/>
        </w:trPr>
        <w:tc>
          <w:tcPr>
            <w:tcW w:w="470" w:type="dxa"/>
            <w:vMerge w:val="restart"/>
            <w:tcBorders>
              <w:top w:val="nil"/>
              <w:left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评分办法</w:t>
            </w:r>
          </w:p>
        </w:tc>
        <w:tc>
          <w:tcPr>
            <w:tcW w:w="645" w:type="dxa"/>
            <w:vMerge w:val="restart"/>
            <w:tcBorders>
              <w:top w:val="nil"/>
              <w:left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技术</w:t>
            </w:r>
            <w:r>
              <w:rPr>
                <w:rFonts w:hint="eastAsia" w:ascii="微软雅黑" w:hAnsi="微软雅黑" w:eastAsia="微软雅黑" w:cs="微软雅黑"/>
                <w:b w:val="0"/>
                <w:bCs/>
                <w:kern w:val="0"/>
                <w:sz w:val="21"/>
                <w:szCs w:val="21"/>
              </w:rPr>
              <w:t>评审</w:t>
            </w:r>
            <w:r>
              <w:rPr>
                <w:rFonts w:hint="eastAsia" w:ascii="微软雅黑" w:hAnsi="微软雅黑" w:eastAsia="微软雅黑" w:cs="微软雅黑"/>
                <w:b w:val="0"/>
                <w:bCs/>
                <w:kern w:val="0"/>
                <w:sz w:val="21"/>
                <w:szCs w:val="21"/>
                <w:lang w:val="en-US" w:eastAsia="zh-CN"/>
              </w:rPr>
              <w:t>40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企业资质</w:t>
            </w:r>
          </w:p>
        </w:tc>
        <w:tc>
          <w:tcPr>
            <w:tcW w:w="6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5962"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企业应提供建筑施工总承包叁级（含叁级）以上资质和钢结构施工资质或特殊设备（电梯）安装施工资质，其中满足施工总承包资质得4分（必须满足，如不满足不得分），有钢结构施工资质得3分（必须满足，如不满足不得分），有特殊设备安装资质得3分，分数依次累加，总分10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施工方案</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15</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施工方案应包含：</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（1）施工组织设计完整，方案齐全，能解决施工中的各项难点；</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（2）施工进度计划合理满足招标文件工期要求；</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（3）安全文明措施</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（4）分项分部施工工艺科学、合理</w:t>
            </w:r>
          </w:p>
          <w:p>
            <w:pPr>
              <w:pStyle w:val="16"/>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（5）有完善的技术服务，售后服务体系</w:t>
            </w:r>
          </w:p>
          <w:p>
            <w:pPr>
              <w:pStyle w:val="16"/>
              <w:spacing w:line="240" w:lineRule="auto"/>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以上每项需从以下方面综合评价：符合度、完整性、合理性。每一项完全满足以上要求的得3分，存在缺陷或缺漏项的得1分，未响应或未提供的得0分，最多得15分。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项目规划</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10</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6"/>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供应商需要做到（1）对项目了解透彻并做出详细计划、(2)熟悉现场施工环境，每一项完全符合的得5分，较为符合的得3分，符合但存在一定缺陷的得1分，不符合或未提供的不得分。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安全文明施工</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5</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6"/>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供应商应详细分析建设目标及注意事项，并对现场了解后做充分准备，并提供相应的安全文明施工方案对本项目各方面建设要求进行响应，内容完善符合采购需求得5分，内容较完善对采购需求简单响应得3分，内容仅对应采购文件未做现场分析得1分，未提供或仅简单描述响应不得分。</w:t>
            </w:r>
          </w:p>
        </w:tc>
      </w:tr>
      <w:tr>
        <w:tblPrEx>
          <w:tblCellMar>
            <w:top w:w="0" w:type="dxa"/>
            <w:left w:w="108" w:type="dxa"/>
            <w:bottom w:w="0" w:type="dxa"/>
            <w:right w:w="108" w:type="dxa"/>
          </w:tblCellMar>
        </w:tblPrEx>
        <w:trPr>
          <w:trHeight w:val="846"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645" w:type="dxa"/>
            <w:vMerge w:val="restart"/>
            <w:tcBorders>
              <w:top w:val="single" w:color="auto" w:sz="4" w:space="0"/>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商务</w:t>
            </w:r>
            <w:r>
              <w:rPr>
                <w:rFonts w:hint="eastAsia" w:ascii="微软雅黑" w:hAnsi="微软雅黑" w:eastAsia="微软雅黑" w:cs="微软雅黑"/>
                <w:b w:val="0"/>
                <w:bCs/>
                <w:kern w:val="0"/>
                <w:sz w:val="21"/>
                <w:szCs w:val="21"/>
              </w:rPr>
              <w:t>评审</w:t>
            </w:r>
            <w:r>
              <w:rPr>
                <w:rFonts w:hint="eastAsia" w:ascii="微软雅黑" w:hAnsi="微软雅黑" w:eastAsia="微软雅黑" w:cs="微软雅黑"/>
                <w:b w:val="0"/>
                <w:bCs/>
                <w:kern w:val="0"/>
                <w:sz w:val="21"/>
                <w:szCs w:val="21"/>
                <w:lang w:val="en-US" w:eastAsia="zh-CN"/>
              </w:rPr>
              <w:t>30</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类似业绩</w:t>
            </w:r>
          </w:p>
        </w:tc>
        <w:tc>
          <w:tcPr>
            <w:tcW w:w="668"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15</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rPr>
            </w:pPr>
            <w:r>
              <w:rPr>
                <w:rFonts w:hint="eastAsia" w:ascii="微软雅黑" w:hAnsi="微软雅黑" w:eastAsia="微软雅黑" w:cs="微软雅黑"/>
                <w:b w:val="0"/>
                <w:bCs/>
                <w:color w:val="auto"/>
                <w:spacing w:val="-6"/>
                <w:kern w:val="2"/>
                <w:sz w:val="21"/>
                <w:szCs w:val="21"/>
                <w:lang w:val="en-US" w:eastAsia="zh-CN" w:bidi="ar-SA"/>
              </w:rPr>
              <w:t>近三年内（2020年12月至投标截止时间内）以来承担过类似的项目业绩的，每提供一个业绩得5分，满分15分。（需提供业绩相关的证明资料）</w:t>
            </w:r>
          </w:p>
        </w:tc>
      </w:tr>
      <w:tr>
        <w:tblPrEx>
          <w:tblCellMar>
            <w:top w:w="0" w:type="dxa"/>
            <w:left w:w="108" w:type="dxa"/>
            <w:bottom w:w="0" w:type="dxa"/>
            <w:right w:w="108" w:type="dxa"/>
          </w:tblCellMar>
        </w:tblPrEx>
        <w:trPr>
          <w:trHeight w:val="777"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rPr>
            </w:pP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对工期及质量的承诺</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5</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提供质量承诺及保障措施、承诺并对工期有承诺和违约经济处罚措施；提供的内容全面详细的得5分，内容较为详细的得3分，内容存在缺陷但基本可行的得1分，内容可行性差或不符合要求不得分。</w:t>
            </w:r>
          </w:p>
        </w:tc>
      </w:tr>
      <w:tr>
        <w:tblPrEx>
          <w:tblCellMar>
            <w:top w:w="0" w:type="dxa"/>
            <w:left w:w="108" w:type="dxa"/>
            <w:bottom w:w="0" w:type="dxa"/>
            <w:right w:w="108" w:type="dxa"/>
          </w:tblCellMar>
        </w:tblPrEx>
        <w:trPr>
          <w:trHeight w:val="840" w:hRule="atLeast"/>
          <w:jc w:val="center"/>
        </w:trPr>
        <w:tc>
          <w:tcPr>
            <w:tcW w:w="470" w:type="dxa"/>
            <w:vMerge w:val="continue"/>
            <w:tcBorders>
              <w:left w:val="single" w:color="auto" w:sz="4" w:space="0"/>
              <w:bottom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施工材料</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default" w:ascii="微软雅黑" w:hAnsi="微软雅黑" w:eastAsia="微软雅黑" w:cs="微软雅黑"/>
                <w:b w:val="0"/>
                <w:bCs/>
                <w:spacing w:val="-6"/>
                <w:sz w:val="21"/>
                <w:szCs w:val="21"/>
                <w:lang w:val="en-US"/>
              </w:rPr>
            </w:pPr>
            <w:r>
              <w:rPr>
                <w:rFonts w:hint="eastAsia" w:ascii="微软雅黑" w:hAnsi="微软雅黑" w:eastAsia="微软雅黑" w:cs="微软雅黑"/>
                <w:b w:val="0"/>
                <w:bCs/>
                <w:color w:val="auto"/>
                <w:spacing w:val="-6"/>
                <w:kern w:val="2"/>
                <w:sz w:val="21"/>
                <w:szCs w:val="21"/>
                <w:lang w:val="en-US" w:eastAsia="zh-CN" w:bidi="ar-SA"/>
              </w:rPr>
              <w:t>供应商应提供本项目施工时所用到的材料目录，并提供材料的品质、性能及其参数等资料，完全符合要求的得10分，较为符合的得7分，只有部分符合的得4分，完全不符合或未提供的不得分。</w:t>
            </w:r>
          </w:p>
        </w:tc>
      </w:tr>
      <w:tr>
        <w:tblPrEx>
          <w:tblCellMar>
            <w:top w:w="0" w:type="dxa"/>
            <w:left w:w="108" w:type="dxa"/>
            <w:bottom w:w="0" w:type="dxa"/>
            <w:right w:w="108" w:type="dxa"/>
          </w:tblCellMar>
        </w:tblPrEx>
        <w:trPr>
          <w:trHeight w:val="663" w:hRule="atLeast"/>
          <w:jc w:val="center"/>
        </w:trPr>
        <w:tc>
          <w:tcPr>
            <w:tcW w:w="252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价格评审</w:t>
            </w:r>
          </w:p>
        </w:tc>
        <w:tc>
          <w:tcPr>
            <w:tcW w:w="66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30</w:t>
            </w:r>
          </w:p>
        </w:tc>
        <w:tc>
          <w:tcPr>
            <w:tcW w:w="596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满足谈判文件要求且报价最低的投标报价为评标基准价，其价格分为满分。投标供应商的价格分统一按照下列公式计算：投标报价得分=（评标基准价/投标报价）×30%×100分。</w:t>
            </w:r>
          </w:p>
        </w:tc>
      </w:tr>
      <w:tr>
        <w:tblPrEx>
          <w:tblCellMar>
            <w:top w:w="0" w:type="dxa"/>
            <w:left w:w="108" w:type="dxa"/>
            <w:bottom w:w="0" w:type="dxa"/>
            <w:right w:w="108" w:type="dxa"/>
          </w:tblCellMar>
        </w:tblPrEx>
        <w:trPr>
          <w:trHeight w:val="663"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总分（100分）</w:t>
            </w:r>
          </w:p>
        </w:tc>
      </w:tr>
    </w:tbl>
    <w:p>
      <w:pPr>
        <w:rPr>
          <w:rFonts w:hint="default"/>
          <w:lang w:val="en-US" w:eastAsia="zh-CN"/>
        </w:rPr>
      </w:pPr>
      <w:r>
        <w:rPr>
          <w:rFonts w:hint="default"/>
          <w:lang w:val="en-US" w:eastAsia="zh-CN"/>
        </w:rPr>
        <w:br w:type="page"/>
      </w:r>
    </w:p>
    <w:p>
      <w:pPr>
        <w:rPr>
          <w:rFonts w:hint="default"/>
          <w:color w:val="0070C0"/>
          <w:lang w:val="en-US" w:eastAsia="zh-CN"/>
        </w:rPr>
      </w:pP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color w:val="auto"/>
          <w:lang w:val="en-US" w:eastAsia="zh-CN"/>
        </w:rPr>
      </w:pPr>
      <w:bookmarkStart w:id="23" w:name="_GoBack"/>
      <w:r>
        <w:rPr>
          <w:rFonts w:hint="eastAsia" w:ascii="微软雅黑" w:hAnsi="微软雅黑" w:eastAsia="微软雅黑" w:cs="微软雅黑"/>
          <w:b/>
          <w:bCs/>
          <w:color w:val="auto"/>
          <w:lang w:val="en-US" w:eastAsia="zh-CN"/>
        </w:rPr>
        <w:t>计算方式及定标办法</w:t>
      </w:r>
    </w:p>
    <w:tbl>
      <w:tblPr>
        <w:tblStyle w:val="13"/>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FE"/>
            </w:r>
            <w:r>
              <w:rPr>
                <w:rFonts w:hint="eastAsia" w:ascii="微软雅黑" w:hAnsi="微软雅黑" w:eastAsia="微软雅黑" w:cs="微软雅黑"/>
                <w:color w:val="auto"/>
                <w:kern w:val="0"/>
                <w:sz w:val="21"/>
                <w:szCs w:val="21"/>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本次采购为竞争性磋商。供应商与会代表持有效身份证件按采购文件规定的时间递交响应文件，并参加本项目采购活动。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合同签署</w:t>
      </w:r>
    </w:p>
    <w:p>
      <w:pPr>
        <w:widowControl/>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16"/>
        <w:rPr>
          <w:rFonts w:ascii="仿宋" w:hAnsi="仿宋" w:eastAsia="仿宋" w:cs="微软雅黑"/>
          <w:sz w:val="28"/>
          <w:szCs w:val="28"/>
        </w:rPr>
      </w:pPr>
    </w:p>
    <w:p>
      <w:pPr>
        <w:pStyle w:val="16"/>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16"/>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16"/>
        <w:rPr>
          <w:rFonts w:ascii="仿宋" w:hAnsi="仿宋" w:eastAsia="仿宋" w:cs="微软雅黑"/>
          <w:b/>
          <w:sz w:val="30"/>
          <w:szCs w:val="30"/>
        </w:rPr>
      </w:pPr>
      <w:r>
        <w:rPr>
          <w:rFonts w:hint="eastAsia" w:ascii="仿宋" w:hAnsi="仿宋" w:eastAsia="仿宋" w:cs="微软雅黑"/>
          <w:b/>
          <w:sz w:val="30"/>
          <w:szCs w:val="30"/>
        </w:rPr>
        <w:t>项目名称：</w:t>
      </w:r>
    </w:p>
    <w:p>
      <w:pPr>
        <w:pStyle w:val="16"/>
        <w:rPr>
          <w:rFonts w:ascii="仿宋" w:hAnsi="仿宋" w:eastAsia="仿宋" w:cs="微软雅黑"/>
          <w:b/>
          <w:sz w:val="30"/>
          <w:szCs w:val="30"/>
        </w:rPr>
      </w:pPr>
    </w:p>
    <w:p>
      <w:pPr>
        <w:pStyle w:val="16"/>
        <w:rPr>
          <w:rFonts w:ascii="仿宋" w:hAnsi="仿宋" w:eastAsia="仿宋" w:cs="微软雅黑"/>
          <w:b/>
          <w:sz w:val="30"/>
          <w:szCs w:val="30"/>
        </w:rPr>
      </w:pPr>
    </w:p>
    <w:p>
      <w:pPr>
        <w:pStyle w:val="16"/>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16"/>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16"/>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pPr>
        <w:rPr>
          <w:rFonts w:hint="eastAsia"/>
          <w:lang w:val="en-US" w:eastAsia="zh-CN"/>
        </w:rPr>
      </w:pPr>
      <w:r>
        <w:rPr>
          <w:rFonts w:hint="eastAsia"/>
          <w:lang w:val="en-US" w:eastAsia="zh-CN"/>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16"/>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r>
        <w:rPr>
          <w:rFonts w:hint="eastAsia" w:ascii="仿宋" w:hAnsi="仿宋" w:eastAsia="仿宋"/>
          <w:b/>
          <w:color w:val="auto"/>
          <w:sz w:val="28"/>
          <w:szCs w:val="28"/>
          <w:lang w:val="en-US" w:eastAsia="zh-CN"/>
        </w:rPr>
        <w:t>以下仅供参考</w:t>
      </w:r>
      <w:r>
        <w:rPr>
          <w:rFonts w:hint="eastAsia" w:ascii="仿宋" w:hAnsi="仿宋" w:eastAsia="仿宋"/>
          <w:b/>
          <w:color w:val="auto"/>
          <w:sz w:val="28"/>
          <w:szCs w:val="28"/>
          <w:lang w:val="zh-CN"/>
        </w:rPr>
        <w:t>）</w:t>
      </w:r>
    </w:p>
    <w:tbl>
      <w:tblPr>
        <w:tblStyle w:val="14"/>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lang w:val="en-US" w:eastAsia="zh-CN"/>
              </w:rPr>
              <w:t>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hint="eastAsia" w:ascii="仿宋" w:hAnsi="仿宋" w:eastAsia="仿宋" w:cs="微软雅黑"/>
                <w:sz w:val="24"/>
                <w:szCs w:val="24"/>
              </w:rPr>
            </w:pPr>
            <w:r>
              <w:rPr>
                <w:rFonts w:hint="eastAsia" w:ascii="仿宋" w:hAnsi="仿宋" w:eastAsia="仿宋" w:cs="微软雅黑"/>
                <w:sz w:val="24"/>
                <w:szCs w:val="24"/>
              </w:rPr>
              <w:t>供应商认为需要提交的其他文件</w:t>
            </w:r>
          </w:p>
        </w:tc>
      </w:tr>
    </w:tbl>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360" w:lineRule="exact"/>
        <w:outlineLvl w:val="1"/>
        <w:rPr>
          <w:rFonts w:ascii="仿宋" w:hAnsi="仿宋" w:eastAsia="仿宋" w:cs="微软雅黑"/>
          <w:b/>
          <w:sz w:val="28"/>
          <w:szCs w:val="28"/>
        </w:rPr>
      </w:pPr>
      <w:bookmarkStart w:id="1" w:name="_Toc24244"/>
      <w:bookmarkStart w:id="2" w:name="_Toc345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1"/>
      <w:bookmarkEnd w:id="2"/>
    </w:p>
    <w:p>
      <w:pPr>
        <w:pStyle w:val="9"/>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3" w:name="_Toc18591"/>
    </w:p>
    <w:p>
      <w:pPr>
        <w:spacing w:line="360" w:lineRule="exact"/>
        <w:outlineLvl w:val="1"/>
        <w:rPr>
          <w:rFonts w:ascii="仿宋" w:hAnsi="仿宋" w:eastAsia="仿宋" w:cs="微软雅黑"/>
          <w:b/>
          <w:sz w:val="28"/>
          <w:szCs w:val="28"/>
        </w:rPr>
      </w:pPr>
      <w:bookmarkStart w:id="4"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3"/>
      <w:bookmarkEnd w:id="4"/>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5" w:name="_Toc424832832"/>
      <w:bookmarkStart w:id="6" w:name="_Toc3488"/>
      <w:bookmarkStart w:id="7" w:name="_Toc360120184"/>
      <w:bookmarkStart w:id="8" w:name="_Toc432149008"/>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9"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5"/>
      <w:bookmarkEnd w:id="6"/>
      <w:bookmarkEnd w:id="7"/>
      <w:bookmarkEnd w:id="8"/>
      <w:bookmarkEnd w:id="9"/>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pPr>
        <w:numPr>
          <w:ilvl w:val="1"/>
          <w:numId w:val="7"/>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pPr>
        <w:numPr>
          <w:ilvl w:val="1"/>
          <w:numId w:val="7"/>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0" w:name="_Toc22174"/>
    </w:p>
    <w:p>
      <w:pPr>
        <w:rPr>
          <w:rFonts w:ascii="仿宋" w:hAnsi="仿宋" w:eastAsia="仿宋" w:cs="微软雅黑"/>
          <w:b/>
          <w:sz w:val="24"/>
          <w:szCs w:val="24"/>
        </w:rPr>
      </w:pPr>
      <w:r>
        <w:rPr>
          <w:rFonts w:hint="eastAsia" w:ascii="仿宋" w:hAnsi="仿宋" w:eastAsia="仿宋" w:cs="微软雅黑"/>
          <w:b/>
          <w:sz w:val="24"/>
          <w:szCs w:val="24"/>
        </w:rPr>
        <w:br w:type="page"/>
      </w:r>
    </w:p>
    <w:p>
      <w:pPr>
        <w:spacing w:line="360" w:lineRule="exact"/>
        <w:outlineLvl w:val="1"/>
        <w:rPr>
          <w:rFonts w:ascii="仿宋" w:hAnsi="仿宋" w:eastAsia="仿宋" w:cs="微软雅黑"/>
          <w:b/>
          <w:sz w:val="28"/>
          <w:szCs w:val="28"/>
        </w:rPr>
      </w:pPr>
      <w:bookmarkStart w:id="11"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0"/>
    <w:bookmarkEnd w:id="11"/>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13"/>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pPr>
        <w:spacing w:line="560" w:lineRule="exact"/>
        <w:rPr>
          <w:rFonts w:ascii="仿宋" w:hAnsi="仿宋" w:eastAsia="仿宋" w:cs="微软雅黑"/>
          <w:b/>
          <w:sz w:val="28"/>
          <w:szCs w:val="28"/>
        </w:rPr>
      </w:pPr>
      <w:bookmarkStart w:id="12" w:name="_Toc529"/>
      <w:r>
        <w:rPr>
          <w:rFonts w:hint="eastAsia" w:ascii="仿宋" w:hAnsi="仿宋" w:eastAsia="仿宋" w:cs="微软雅黑"/>
          <w:b/>
          <w:sz w:val="28"/>
          <w:szCs w:val="28"/>
        </w:rPr>
        <w:br w:type="page"/>
      </w:r>
    </w:p>
    <w:bookmarkEnd w:id="12"/>
    <w:p>
      <w:pPr>
        <w:pStyle w:val="4"/>
        <w:adjustRightInd w:val="0"/>
        <w:snapToGrid w:val="0"/>
        <w:spacing w:before="0" w:after="0" w:line="240" w:lineRule="auto"/>
        <w:jc w:val="left"/>
        <w:rPr>
          <w:rFonts w:ascii="仿宋_GB2312" w:hAnsi="仿宋_GB2312" w:eastAsia="仿宋_GB2312" w:cs="仿宋_GB2312"/>
          <w:szCs w:val="28"/>
        </w:rPr>
      </w:pPr>
      <w:bookmarkStart w:id="13" w:name="_Toc3160"/>
      <w:r>
        <w:rPr>
          <w:rFonts w:hint="eastAsia" w:ascii="仿宋_GB2312" w:hAnsi="仿宋_GB2312" w:eastAsia="仿宋_GB2312" w:cs="仿宋_GB2312"/>
          <w:szCs w:val="28"/>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14" w:name="_Toc16044_WPSOffice_Level2"/>
      <w:bookmarkStart w:id="15" w:name="_Toc28271_WPSOffice_Level2"/>
      <w:r>
        <w:rPr>
          <w:rFonts w:hint="eastAsia" w:ascii="仿宋_GB2312" w:hAnsi="仿宋_GB2312" w:eastAsia="仿宋_GB2312" w:cs="仿宋_GB2312"/>
          <w:b/>
          <w:bCs/>
          <w:sz w:val="28"/>
          <w:szCs w:val="28"/>
        </w:rPr>
        <w:t>分项报价表</w:t>
      </w:r>
      <w:bookmarkEnd w:id="14"/>
      <w:bookmarkEnd w:id="15"/>
    </w:p>
    <w:p>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13"/>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pPr>
              <w:adjustRightInd w:val="0"/>
              <w:snapToGrid w:val="0"/>
              <w:ind w:right="105" w:rightChars="50"/>
              <w:jc w:val="center"/>
              <w:rPr>
                <w:rFonts w:ascii="仿宋_GB2312" w:hAnsi="仿宋_GB2312" w:eastAsia="仿宋_GB2312" w:cs="仿宋_GB2312"/>
                <w:sz w:val="28"/>
                <w:szCs w:val="28"/>
              </w:rPr>
            </w:pPr>
          </w:p>
        </w:tc>
      </w:tr>
    </w:tbl>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13"/>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6" w:name="_Toc11910"/>
      <w:r>
        <w:rPr>
          <w:rFonts w:hint="eastAsia" w:ascii="仿宋" w:hAnsi="仿宋" w:eastAsia="仿宋" w:cs="微软雅黑"/>
          <w:b/>
          <w:sz w:val="28"/>
          <w:szCs w:val="28"/>
        </w:rPr>
        <w:t>格式7需求响应文件</w:t>
      </w:r>
      <w:bookmarkEnd w:id="16"/>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7" w:name="_Toc11253"/>
      <w:r>
        <w:rPr>
          <w:rFonts w:hint="eastAsia" w:ascii="仿宋" w:hAnsi="仿宋" w:eastAsia="仿宋" w:cs="微软雅黑"/>
          <w:b/>
          <w:sz w:val="28"/>
          <w:szCs w:val="28"/>
        </w:rPr>
        <w:t>格式8评审办法响应文件</w:t>
      </w:r>
      <w:bookmarkEnd w:id="17"/>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18" w:name="_Toc7229"/>
      <w:bookmarkStart w:id="19" w:name="_Toc4730"/>
      <w:bookmarkStart w:id="20" w:name="_Toc476839034"/>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1" w:name="_Toc25904"/>
      <w:r>
        <w:rPr>
          <w:rFonts w:hint="eastAsia" w:ascii="仿宋" w:hAnsi="仿宋" w:eastAsia="仿宋" w:cs="微软雅黑"/>
          <w:b/>
          <w:sz w:val="28"/>
          <w:szCs w:val="28"/>
        </w:rPr>
        <w:t>格式9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18"/>
      <w:bookmarkEnd w:id="19"/>
      <w:bookmarkEnd w:id="20"/>
      <w:bookmarkEnd w:id="21"/>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2" w:name="_Toc19613"/>
      <w:r>
        <w:rPr>
          <w:rFonts w:hint="eastAsia" w:ascii="仿宋" w:hAnsi="仿宋" w:eastAsia="仿宋" w:cs="微软雅黑"/>
          <w:b/>
          <w:sz w:val="28"/>
          <w:szCs w:val="28"/>
        </w:rPr>
        <w:t>格式10</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2"/>
    </w:p>
    <w:p>
      <w:pPr>
        <w:jc w:val="center"/>
        <w:rPr>
          <w:rFonts w:ascii="宋体" w:hAnsi="宋体"/>
          <w:b/>
          <w:sz w:val="28"/>
          <w:szCs w:val="28"/>
        </w:rPr>
      </w:pPr>
    </w:p>
    <w:p>
      <w:pPr>
        <w:pStyle w:val="17"/>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7"/>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16"/>
      </w:pPr>
    </w:p>
    <w:p>
      <w:pPr>
        <w:pStyle w:val="16"/>
      </w:pPr>
    </w:p>
    <w:p>
      <w:pPr>
        <w:pStyle w:val="17"/>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7"/>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7"/>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pPr>
        <w:topLinePunct/>
        <w:snapToGrid w:val="0"/>
        <w:spacing w:line="240" w:lineRule="auto"/>
        <w:rPr>
          <w:rFonts w:hint="eastAsia" w:ascii="仿宋" w:hAnsi="仿宋" w:eastAsia="仿宋" w:cs="仿宋"/>
          <w:b w:val="0"/>
          <w:bCs/>
          <w:color w:val="000000"/>
          <w:sz w:val="28"/>
          <w:szCs w:val="28"/>
        </w:rPr>
      </w:pP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pPr>
        <w:snapToGrid w:val="0"/>
        <w:spacing w:line="240" w:lineRule="auto"/>
        <w:ind w:firstLine="1120" w:firstLineChars="400"/>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napToGrid w:val="0"/>
        <w:spacing w:line="240" w:lineRule="auto"/>
        <w:ind w:firstLine="1120" w:firstLineChars="400"/>
        <w:rPr>
          <w:rFonts w:hint="eastAsia" w:ascii="仿宋" w:hAnsi="仿宋" w:eastAsia="仿宋" w:cs="仿宋"/>
          <w:b w:val="0"/>
          <w:bCs/>
          <w:color w:val="0000FF"/>
          <w:sz w:val="28"/>
          <w:szCs w:val="28"/>
        </w:rPr>
      </w:pPr>
    </w:p>
    <w:p>
      <w:pPr>
        <w:snapToGrid w:val="0"/>
        <w:spacing w:line="240" w:lineRule="auto"/>
        <w:ind w:firstLine="1120" w:firstLineChars="400"/>
        <w:rPr>
          <w:rFonts w:hint="eastAsia" w:ascii="仿宋" w:hAnsi="仿宋" w:eastAsia="仿宋" w:cs="仿宋"/>
          <w:b w:val="0"/>
          <w:bCs/>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snapToGrid w:val="0"/>
        <w:spacing w:line="240" w:lineRule="auto"/>
        <w:rPr>
          <w:rFonts w:hint="eastAsia" w:ascii="仿宋" w:hAnsi="仿宋" w:eastAsia="仿宋" w:cs="仿宋"/>
          <w:b w:val="0"/>
          <w:bCs/>
          <w:sz w:val="28"/>
          <w:szCs w:val="28"/>
        </w:rPr>
      </w:pP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pPr>
        <w:pStyle w:val="16"/>
        <w:rPr>
          <w:rFonts w:hint="default" w:ascii="仿宋" w:hAnsi="仿宋" w:eastAsia="仿宋" w:cs="微软雅黑"/>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7937C"/>
    <w:multiLevelType w:val="singleLevel"/>
    <w:tmpl w:val="DA17937C"/>
    <w:lvl w:ilvl="0" w:tentative="0">
      <w:start w:val="1"/>
      <w:numFmt w:val="decimal"/>
      <w:suff w:val="nothing"/>
      <w:lvlText w:val="（%1）"/>
      <w:lvlJc w:val="left"/>
    </w:lvl>
  </w:abstractNum>
  <w:abstractNum w:abstractNumId="1">
    <w:nsid w:val="F689A5A6"/>
    <w:multiLevelType w:val="singleLevel"/>
    <w:tmpl w:val="F689A5A6"/>
    <w:lvl w:ilvl="0" w:tentative="0">
      <w:start w:val="1"/>
      <w:numFmt w:val="decimal"/>
      <w:lvlText w:val="%1)"/>
      <w:lvlJc w:val="left"/>
      <w:pPr>
        <w:ind w:left="425" w:hanging="425"/>
      </w:pPr>
      <w:rPr>
        <w:rFonts w:hint="default"/>
      </w:rPr>
    </w:lvl>
  </w:abstractNum>
  <w:abstractNum w:abstractNumId="2">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4">
    <w:nsid w:val="1D0CA0C5"/>
    <w:multiLevelType w:val="singleLevel"/>
    <w:tmpl w:val="1D0CA0C5"/>
    <w:lvl w:ilvl="0" w:tentative="0">
      <w:start w:val="1"/>
      <w:numFmt w:val="decimal"/>
      <w:lvlText w:val="%1."/>
      <w:lvlJc w:val="left"/>
      <w:pPr>
        <w:ind w:left="425" w:hanging="425"/>
      </w:pPr>
      <w:rPr>
        <w:rFonts w:hint="default"/>
      </w:rPr>
    </w:lvl>
  </w:abstractNum>
  <w:abstractNum w:abstractNumId="5">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1AD22E7"/>
    <w:rsid w:val="025739FF"/>
    <w:rsid w:val="02876A43"/>
    <w:rsid w:val="03B50748"/>
    <w:rsid w:val="047563BF"/>
    <w:rsid w:val="07415229"/>
    <w:rsid w:val="07EB13A4"/>
    <w:rsid w:val="0DF2282E"/>
    <w:rsid w:val="17B86DD4"/>
    <w:rsid w:val="1D1030AC"/>
    <w:rsid w:val="221E19EC"/>
    <w:rsid w:val="23432D40"/>
    <w:rsid w:val="256C7635"/>
    <w:rsid w:val="257C6BEF"/>
    <w:rsid w:val="26543C2E"/>
    <w:rsid w:val="274556FA"/>
    <w:rsid w:val="2AFB1A46"/>
    <w:rsid w:val="2C140AD4"/>
    <w:rsid w:val="2C3D0C5D"/>
    <w:rsid w:val="2CD258AD"/>
    <w:rsid w:val="2E020414"/>
    <w:rsid w:val="2EC76001"/>
    <w:rsid w:val="305A62E5"/>
    <w:rsid w:val="30B51C66"/>
    <w:rsid w:val="32F02764"/>
    <w:rsid w:val="362E718F"/>
    <w:rsid w:val="38D92593"/>
    <w:rsid w:val="3A3A2866"/>
    <w:rsid w:val="3A4777B0"/>
    <w:rsid w:val="3C5E715D"/>
    <w:rsid w:val="3C6847CB"/>
    <w:rsid w:val="3CB90A0D"/>
    <w:rsid w:val="3DCC3519"/>
    <w:rsid w:val="3F7A3270"/>
    <w:rsid w:val="419B6A3A"/>
    <w:rsid w:val="42520F10"/>
    <w:rsid w:val="42E1448F"/>
    <w:rsid w:val="4AF013C9"/>
    <w:rsid w:val="4D376A08"/>
    <w:rsid w:val="51D76DC7"/>
    <w:rsid w:val="52325D6E"/>
    <w:rsid w:val="52B646DC"/>
    <w:rsid w:val="557800C8"/>
    <w:rsid w:val="597015C7"/>
    <w:rsid w:val="5EAB081C"/>
    <w:rsid w:val="614F743B"/>
    <w:rsid w:val="623B5B62"/>
    <w:rsid w:val="63066872"/>
    <w:rsid w:val="64FE58CD"/>
    <w:rsid w:val="651248F1"/>
    <w:rsid w:val="652F38F2"/>
    <w:rsid w:val="66AB742B"/>
    <w:rsid w:val="68743B4D"/>
    <w:rsid w:val="6A2A45E1"/>
    <w:rsid w:val="6BDE45F3"/>
    <w:rsid w:val="6EB63F89"/>
    <w:rsid w:val="6EFC20F8"/>
    <w:rsid w:val="715B78C5"/>
    <w:rsid w:val="729149D6"/>
    <w:rsid w:val="752710C6"/>
    <w:rsid w:val="756379B6"/>
    <w:rsid w:val="7749547D"/>
    <w:rsid w:val="78AD046C"/>
    <w:rsid w:val="78C552D3"/>
    <w:rsid w:val="7A946DA5"/>
    <w:rsid w:val="7E5F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rPr>
      <w:sz w:val="21"/>
    </w:rPr>
  </w:style>
  <w:style w:type="paragraph" w:styleId="7">
    <w:name w:val="footer"/>
    <w:basedOn w:val="1"/>
    <w:qFormat/>
    <w:uiPriority w:val="99"/>
    <w:pPr>
      <w:tabs>
        <w:tab w:val="center" w:pos="4153"/>
        <w:tab w:val="right" w:pos="8306"/>
      </w:tabs>
      <w:snapToGrid w:val="0"/>
      <w:jc w:val="left"/>
    </w:pPr>
    <w:rPr>
      <w:rFonts w:ascii="Tahoma" w:hAnsi="Tahoma"/>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9">
    <w:name w:val="toc 1"/>
    <w:basedOn w:val="1"/>
    <w:next w:val="1"/>
    <w:qFormat/>
    <w:uiPriority w:val="39"/>
  </w:style>
  <w:style w:type="paragraph" w:styleId="10">
    <w:name w:val="footnote text"/>
    <w:basedOn w:val="1"/>
    <w:next w:val="11"/>
    <w:qFormat/>
    <w:uiPriority w:val="0"/>
    <w:pPr>
      <w:adjustRightInd w:val="0"/>
      <w:snapToGrid w:val="0"/>
      <w:spacing w:line="420" w:lineRule="atLeast"/>
      <w:ind w:firstLine="454"/>
      <w:jc w:val="left"/>
      <w:textAlignment w:val="baseline"/>
    </w:pPr>
    <w:rPr>
      <w:kern w:val="0"/>
      <w:sz w:val="18"/>
      <w:szCs w:val="20"/>
    </w:rPr>
  </w:style>
  <w:style w:type="paragraph" w:styleId="11">
    <w:name w:val="Body Text First Indent 2"/>
    <w:basedOn w:val="6"/>
    <w:next w:val="1"/>
    <w:qFormat/>
    <w:uiPriority w:val="0"/>
    <w:pPr>
      <w:ind w:firstLine="420" w:firstLine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6026</Words>
  <Characters>6172</Characters>
  <Lines>0</Lines>
  <Paragraphs>0</Paragraphs>
  <TotalTime>1</TotalTime>
  <ScaleCrop>false</ScaleCrop>
  <LinksUpToDate>false</LinksUpToDate>
  <CharactersWithSpaces>6919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李燃</cp:lastModifiedBy>
  <dcterms:modified xsi:type="dcterms:W3CDTF">2023-12-14T14:39:04Z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616149B0325E4795B48873E2CEFD0BFB</vt:lpwstr>
  </property>
</Properties>
</file>