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color w:val="auto"/>
          <w:sz w:val="72"/>
          <w:szCs w:val="144"/>
          <w:u w:val="none"/>
          <w:lang w:val="en-US"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default" w:ascii="微软雅黑" w:hAnsi="微软雅黑" w:eastAsia="微软雅黑" w:cs="微软雅黑"/>
                <w:b/>
                <w:bCs/>
                <w:color w:val="auto"/>
                <w:sz w:val="32"/>
                <w:szCs w:val="40"/>
                <w:u w:val="none"/>
                <w:lang w:val="en-US" w:eastAsia="zh-CN"/>
              </w:rPr>
              <w:t>2023南院区药剂楼二楼药学部基因实验室和办公室装修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项目编码：</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default" w:ascii="微软雅黑" w:hAnsi="微软雅黑" w:eastAsia="微软雅黑" w:cs="微软雅黑"/>
                <w:b/>
                <w:bCs/>
                <w:color w:val="auto"/>
                <w:sz w:val="32"/>
                <w:szCs w:val="40"/>
                <w:u w:val="none"/>
                <w:lang w:val="en-US" w:eastAsia="zh-CN"/>
              </w:rPr>
              <w:t>ZBB-2023-083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color w:val="auto"/>
                <w:sz w:val="32"/>
                <w:szCs w:val="40"/>
                <w:highlight w:val="none"/>
                <w:u w:val="none"/>
                <w:lang w:val="en-US" w:eastAsia="zh-CN"/>
              </w:rPr>
            </w:pPr>
            <w:r>
              <w:rPr>
                <w:rFonts w:hint="default" w:ascii="微软雅黑" w:hAnsi="微软雅黑" w:eastAsia="微软雅黑" w:cs="微软雅黑"/>
                <w:b/>
                <w:bCs/>
                <w:color w:val="auto"/>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color w:val="auto"/>
                <w:sz w:val="32"/>
                <w:szCs w:val="40"/>
                <w:highlight w:val="none"/>
                <w:u w:val="none"/>
                <w:lang w:val="en-US" w:eastAsia="zh-CN"/>
              </w:rPr>
            </w:pPr>
            <w:r>
              <w:rPr>
                <w:rFonts w:hint="eastAsia" w:ascii="微软雅黑" w:hAnsi="微软雅黑" w:eastAsia="微软雅黑" w:cs="微软雅黑"/>
                <w:b/>
                <w:bCs/>
                <w:color w:val="auto"/>
                <w:sz w:val="32"/>
                <w:szCs w:val="40"/>
                <w:highlight w:val="none"/>
                <w:u w:val="none"/>
                <w:lang w:val="en-US" w:eastAsia="zh-CN"/>
              </w:rPr>
              <w:t>2023年11月28日</w:t>
            </w:r>
          </w:p>
        </w:tc>
      </w:tr>
    </w:tbl>
    <w:p>
      <w:pPr>
        <w:rPr>
          <w:rFonts w:hint="default" w:ascii="微软雅黑" w:hAnsi="微软雅黑" w:eastAsia="微软雅黑" w:cs="微软雅黑"/>
          <w:b/>
          <w:bCs/>
          <w:color w:val="auto"/>
          <w:sz w:val="72"/>
          <w:szCs w:val="144"/>
          <w:u w:val="none"/>
          <w:lang w:val="en-US" w:eastAsia="zh-CN"/>
        </w:rPr>
      </w:pPr>
      <w:r>
        <w:rPr>
          <w:rFonts w:hint="default" w:ascii="微软雅黑" w:hAnsi="微软雅黑" w:eastAsia="微软雅黑" w:cs="微软雅黑"/>
          <w:b/>
          <w:bCs/>
          <w:color w:val="auto"/>
          <w:sz w:val="72"/>
          <w:szCs w:val="144"/>
          <w:u w:val="none"/>
          <w:lang w:val="en-US" w:eastAsia="zh-CN"/>
        </w:rPr>
        <w:br w:type="page"/>
      </w:r>
    </w:p>
    <w:p>
      <w:pPr>
        <w:pStyle w:val="4"/>
        <w:bidi w:val="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auto"/>
          <w:sz w:val="32"/>
          <w:szCs w:val="24"/>
          <w:lang w:val="en-US" w:eastAsia="zh-CN"/>
        </w:rPr>
      </w:pPr>
      <w:r>
        <w:rPr>
          <w:rFonts w:hint="eastAsia" w:ascii="微软雅黑" w:hAnsi="微软雅黑" w:eastAsia="微软雅黑" w:cs="微软雅黑"/>
          <w:color w:val="auto"/>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项目编码：ZBB-2023-083</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项目名称：2023南院区药剂楼二楼药学部基因实验室和办公室装修</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 xml:space="preserve"> 77402.17  </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（1）主要采购内容：为改善药学部基因实验室实验环境，拟对新搬迁至二楼实验室和附属办公室进行改造，具体内容详见图纸及工程清单附件。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（2）包含的其他采购内容：无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（3）工期要求：30天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（4）其他：无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满足《中华人民共和国政府采购法》第二十二条规定，即：</w:t>
      </w:r>
      <w:r>
        <w:rPr>
          <w:rFonts w:hint="eastAsia" w:ascii="微软雅黑" w:hAnsi="微软雅黑" w:eastAsia="微软雅黑" w:cs="微软雅黑"/>
          <w:color w:val="auto"/>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投标人应具备建筑工程总承包叁级（含叁级）以上施工资质，需提供清晰的资质证书原件或复印件，资质文件二维码可扫描识别。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报名时间：2023年11月29日0时0分起至2023年12月5</w:t>
      </w:r>
      <w:bookmarkStart w:id="23" w:name="_GoBack"/>
      <w:bookmarkEnd w:id="23"/>
      <w:r>
        <w:rPr>
          <w:rFonts w:hint="eastAsia" w:ascii="微软雅黑" w:hAnsi="微软雅黑" w:eastAsia="微软雅黑" w:cs="微软雅黑"/>
          <w:b w:val="0"/>
          <w:bCs w:val="0"/>
          <w:color w:val="auto"/>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联系电话：0710-3512060</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color w:val="auto"/>
          <w:sz w:val="21"/>
          <w:szCs w:val="21"/>
          <w:lang w:val="en-US" w:eastAsia="zh-CN"/>
        </w:rPr>
      </w:pPr>
      <w:r>
        <w:rPr>
          <w:rFonts w:hint="default" w:ascii="微软雅黑" w:hAnsi="微软雅黑" w:eastAsia="微软雅黑" w:cs="微软雅黑"/>
          <w:b w:val="0"/>
          <w:bCs w:val="0"/>
          <w:color w:val="auto"/>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 xml:space="preserve">采购需求 </w:t>
      </w:r>
      <w:r>
        <w:rPr>
          <w:rFonts w:hint="eastAsia" w:ascii="微软雅黑" w:hAnsi="微软雅黑" w:eastAsia="微软雅黑" w:cs="微软雅黑"/>
          <w:b/>
          <w:color w:val="FF0000"/>
          <w:sz w:val="32"/>
          <w:szCs w:val="24"/>
          <w:lang w:val="en-US" w:eastAsia="zh-CN"/>
        </w:rPr>
        <w:t>（本章按项目情况编制）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技术或服务要求</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val="0"/>
          <w:bCs w:val="0"/>
          <w:color w:val="FF0000"/>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lang w:val="en-US" w:eastAsia="zh-CN"/>
        </w:rPr>
      </w:pPr>
      <w:r>
        <w:rPr>
          <w:rFonts w:hint="eastAsia" w:ascii="微软雅黑" w:hAnsi="微软雅黑" w:eastAsia="微软雅黑" w:cs="微软雅黑"/>
          <w:b w:val="0"/>
          <w:bCs w:val="0"/>
          <w:color w:val="FF0000"/>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FF0000"/>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工程竣工验收合格，乙方申报工程决算，甲方委托中介机构或政府相关部门审计完毕、出具正式审计报告；甲方在收到乙方出具的全额发票后，以审计报告出具时间为起点展期3个月后支付到结算价款的97%，余工程结算价款的 3%作为质保金，在质保期满后一次性无息支付。</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30</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：防水工程5年，其余装修内容2年，结构工程按相关法规执行。</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FF0000"/>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2"/>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企业应提供其具备的专业承包资质，其中提供一级资质的得10分，二级资质的得8分，三级资质的得6分。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5"/>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近三年内（2020年11月至投标截止时间内）以来承担过类似的项目业绩的，每提供一个业绩得5分，满分15分。（需提供业绩相关的证明资料）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2"/>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w:t>
      </w:r>
      <w:r>
        <w:rPr>
          <w:rFonts w:hint="eastAsia" w:ascii="微软雅黑" w:hAnsi="微软雅黑" w:eastAsia="微软雅黑" w:cs="微软雅黑"/>
          <w:sz w:val="21"/>
          <w:szCs w:val="21"/>
          <w:lang w:val="en-US" w:eastAsia="zh-CN"/>
        </w:rPr>
        <w:t>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5"/>
        <w:rPr>
          <w:rFonts w:ascii="仿宋" w:hAnsi="仿宋" w:eastAsia="仿宋" w:cs="微软雅黑"/>
          <w:sz w:val="28"/>
          <w:szCs w:val="28"/>
        </w:rPr>
      </w:pPr>
    </w:p>
    <w:p>
      <w:pPr>
        <w:pStyle w:val="15"/>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5"/>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5"/>
        <w:rPr>
          <w:rFonts w:ascii="仿宋" w:hAnsi="仿宋" w:eastAsia="仿宋" w:cs="微软雅黑"/>
          <w:b/>
          <w:sz w:val="30"/>
          <w:szCs w:val="30"/>
        </w:rPr>
      </w:pPr>
      <w:r>
        <w:rPr>
          <w:rFonts w:hint="eastAsia" w:ascii="仿宋" w:hAnsi="仿宋" w:eastAsia="仿宋" w:cs="微软雅黑"/>
          <w:b/>
          <w:sz w:val="30"/>
          <w:szCs w:val="30"/>
        </w:rPr>
        <w:t>项目名称：</w:t>
      </w:r>
    </w:p>
    <w:p>
      <w:pPr>
        <w:pStyle w:val="15"/>
        <w:rPr>
          <w:rFonts w:ascii="仿宋" w:hAnsi="仿宋" w:eastAsia="仿宋" w:cs="微软雅黑"/>
          <w:b/>
          <w:sz w:val="30"/>
          <w:szCs w:val="30"/>
        </w:rPr>
      </w:pPr>
    </w:p>
    <w:p>
      <w:pPr>
        <w:pStyle w:val="15"/>
        <w:rPr>
          <w:rFonts w:ascii="仿宋" w:hAnsi="仿宋" w:eastAsia="仿宋" w:cs="微软雅黑"/>
          <w:b/>
          <w:sz w:val="30"/>
          <w:szCs w:val="30"/>
        </w:rPr>
      </w:pPr>
    </w:p>
    <w:p>
      <w:pPr>
        <w:pStyle w:val="15"/>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5"/>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3"/>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3488"/>
      <w:bookmarkStart w:id="6" w:name="_Toc360120184"/>
      <w:bookmarkStart w:id="7" w:name="_Toc424832832"/>
      <w:bookmarkStart w:id="8" w:name="_Toc43214900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6"/>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6"/>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2"/>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7229"/>
      <w:bookmarkStart w:id="19" w:name="_Toc4730"/>
      <w:bookmarkStart w:id="20" w:name="_Toc47683903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6"/>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5"/>
      </w:pPr>
    </w:p>
    <w:p>
      <w:pPr>
        <w:pStyle w:val="15"/>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6"/>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5"/>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1D0CA0C5"/>
    <w:multiLevelType w:val="singleLevel"/>
    <w:tmpl w:val="1D0CA0C5"/>
    <w:lvl w:ilvl="0" w:tentative="0">
      <w:start w:val="1"/>
      <w:numFmt w:val="decimal"/>
      <w:lvlText w:val="%1."/>
      <w:lvlJc w:val="left"/>
      <w:pPr>
        <w:ind w:left="425" w:hanging="425"/>
      </w:pPr>
      <w:rPr>
        <w:rFonts w:hint="default"/>
      </w:rPr>
    </w:lvl>
  </w:abstractNum>
  <w:abstractNum w:abstractNumId="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0E532C05"/>
    <w:rsid w:val="17B86DD4"/>
    <w:rsid w:val="1CF07163"/>
    <w:rsid w:val="1D1030AC"/>
    <w:rsid w:val="221E19EC"/>
    <w:rsid w:val="23432D40"/>
    <w:rsid w:val="256C7635"/>
    <w:rsid w:val="257C6BEF"/>
    <w:rsid w:val="26543C2E"/>
    <w:rsid w:val="274556FA"/>
    <w:rsid w:val="2AB12756"/>
    <w:rsid w:val="2AFB1A46"/>
    <w:rsid w:val="2C140AD4"/>
    <w:rsid w:val="2C3D0C5D"/>
    <w:rsid w:val="2CD258AD"/>
    <w:rsid w:val="2DF23E30"/>
    <w:rsid w:val="2E020414"/>
    <w:rsid w:val="2EC76001"/>
    <w:rsid w:val="305A62E5"/>
    <w:rsid w:val="32F02764"/>
    <w:rsid w:val="362E718F"/>
    <w:rsid w:val="38D92593"/>
    <w:rsid w:val="3A3A2866"/>
    <w:rsid w:val="3A4777B0"/>
    <w:rsid w:val="3C5E715D"/>
    <w:rsid w:val="3CB90A0D"/>
    <w:rsid w:val="3D627B62"/>
    <w:rsid w:val="3DCC3519"/>
    <w:rsid w:val="419B6A3A"/>
    <w:rsid w:val="42520F10"/>
    <w:rsid w:val="42E1448F"/>
    <w:rsid w:val="44F07511"/>
    <w:rsid w:val="4AF013C9"/>
    <w:rsid w:val="4D376A08"/>
    <w:rsid w:val="52325D6E"/>
    <w:rsid w:val="52B646DC"/>
    <w:rsid w:val="597015C7"/>
    <w:rsid w:val="614F743B"/>
    <w:rsid w:val="623B5B62"/>
    <w:rsid w:val="63066872"/>
    <w:rsid w:val="64FE58CD"/>
    <w:rsid w:val="652F38F2"/>
    <w:rsid w:val="66AB742B"/>
    <w:rsid w:val="68743B4D"/>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7819</Words>
  <Characters>8035</Characters>
  <Lines>0</Lines>
  <Paragraphs>0</Paragraphs>
  <TotalTime>3</TotalTime>
  <ScaleCrop>false</ScaleCrop>
  <LinksUpToDate>false</LinksUpToDate>
  <CharactersWithSpaces>8776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2023-11-28T08:28:08Z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616149B0325E4795B48873E2CEFD0BFB</vt:lpwstr>
  </property>
</Properties>
</file>