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lang w:eastAsia="zh-CN"/>
        </w:rPr>
      </w:pPr>
    </w:p>
    <w:p>
      <w:pPr>
        <w:rPr>
          <w:rFonts w:hint="eastAsia" w:eastAsiaTheme="minorEastAsia"/>
          <w:b/>
          <w:bCs/>
          <w:lang w:eastAsia="zh-CN"/>
        </w:rPr>
      </w:pP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襄阳市中心医院</w:t>
      </w: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院内采购项目</w:t>
      </w: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72"/>
          <w:szCs w:val="144"/>
          <w:u w:val="none"/>
          <w:lang w:val="en-US" w:eastAsia="zh-CN"/>
        </w:rPr>
      </w:pPr>
      <w:r>
        <w:rPr>
          <w:rFonts w:hint="eastAsia" w:ascii="微软雅黑" w:hAnsi="微软雅黑" w:eastAsia="微软雅黑" w:cs="微软雅黑"/>
          <w:b/>
          <w:bCs/>
          <w:sz w:val="72"/>
          <w:szCs w:val="144"/>
          <w:u w:val="none"/>
          <w:lang w:val="en-US" w:eastAsia="zh-CN"/>
        </w:rPr>
        <w:t>采购文件</w:t>
      </w:r>
    </w:p>
    <w:p>
      <w:pPr>
        <w:jc w:val="center"/>
        <w:rPr>
          <w:rFonts w:hint="eastAsia" w:ascii="微软雅黑" w:hAnsi="微软雅黑" w:eastAsia="微软雅黑" w:cs="微软雅黑"/>
          <w:b/>
          <w:bCs/>
          <w:color w:val="auto"/>
          <w:sz w:val="72"/>
          <w:szCs w:val="144"/>
          <w:u w:val="none"/>
          <w:lang w:val="en-US" w:eastAsia="zh-C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采购方式：</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项目类型：</w:t>
            </w:r>
          </w:p>
        </w:tc>
        <w:tc>
          <w:tcPr>
            <w:tcW w:w="5866" w:type="dxa"/>
          </w:tcPr>
          <w:p>
            <w:pPr>
              <w:jc w:val="left"/>
              <w:rPr>
                <w:rFonts w:hint="eastAsia" w:ascii="微软雅黑" w:hAnsi="微软雅黑" w:eastAsia="微软雅黑" w:cs="微软雅黑"/>
                <w:b/>
                <w:bCs/>
                <w:color w:val="auto"/>
                <w:sz w:val="28"/>
                <w:szCs w:val="28"/>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项目名称：</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东津院区门诊停车场车辆管理设备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sz w:val="32"/>
                <w:szCs w:val="40"/>
                <w:u w:val="none"/>
                <w:lang w:val="en-US" w:eastAsia="zh-CN"/>
              </w:rPr>
              <w:t>项目编码：</w:t>
            </w:r>
          </w:p>
        </w:tc>
        <w:tc>
          <w:tcPr>
            <w:tcW w:w="5866" w:type="dxa"/>
          </w:tcPr>
          <w:p>
            <w:pPr>
              <w:jc w:val="left"/>
              <w:rPr>
                <w:rFonts w:hint="default" w:ascii="微软雅黑" w:hAnsi="微软雅黑" w:eastAsia="微软雅黑" w:cs="微软雅黑"/>
                <w:b/>
                <w:bCs/>
                <w:sz w:val="32"/>
                <w:szCs w:val="40"/>
                <w:u w:val="none"/>
                <w:lang w:val="en-US" w:eastAsia="zh-CN"/>
              </w:rPr>
            </w:pPr>
            <w:r>
              <w:rPr>
                <w:rFonts w:hint="default" w:ascii="微软雅黑" w:hAnsi="微软雅黑" w:eastAsia="微软雅黑" w:cs="微软雅黑"/>
                <w:b/>
                <w:bCs/>
                <w:sz w:val="32"/>
                <w:szCs w:val="40"/>
                <w:u w:val="none"/>
                <w:lang w:val="en-US" w:eastAsia="zh-CN"/>
              </w:rPr>
              <w:t>ZBB-2023-084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采购单位：</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default" w:ascii="微软雅黑" w:hAnsi="微软雅黑" w:eastAsia="微软雅黑" w:cs="微软雅黑"/>
                <w:b/>
                <w:bCs/>
                <w:sz w:val="32"/>
                <w:szCs w:val="40"/>
                <w:highlight w:val="none"/>
                <w:u w:val="none"/>
                <w:lang w:val="en-US" w:eastAsia="zh-CN"/>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采购日期：</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2023年12月12日</w:t>
            </w:r>
          </w:p>
        </w:tc>
      </w:tr>
    </w:tbl>
    <w:p>
      <w:pPr>
        <w:rPr>
          <w:rFonts w:hint="default" w:ascii="微软雅黑" w:hAnsi="微软雅黑" w:eastAsia="微软雅黑" w:cs="微软雅黑"/>
          <w:b/>
          <w:bCs/>
          <w:sz w:val="72"/>
          <w:szCs w:val="144"/>
          <w:u w:val="none"/>
          <w:lang w:val="en-US" w:eastAsia="zh-CN"/>
        </w:rPr>
      </w:pPr>
      <w:r>
        <w:rPr>
          <w:rFonts w:hint="default" w:ascii="微软雅黑" w:hAnsi="微软雅黑" w:eastAsia="微软雅黑" w:cs="微软雅黑"/>
          <w:b/>
          <w:bCs/>
          <w:sz w:val="72"/>
          <w:szCs w:val="144"/>
          <w:u w:val="none"/>
          <w:lang w:val="en-US" w:eastAsia="zh-CN"/>
        </w:rPr>
        <w:br w:type="page"/>
      </w:r>
    </w:p>
    <w:p>
      <w:pPr>
        <w:pStyle w:val="4"/>
        <w:bidi w:val="0"/>
        <w:jc w:val="center"/>
        <w:rPr>
          <w:rFonts w:hint="eastAsia" w:ascii="微软雅黑" w:hAnsi="微软雅黑" w:eastAsia="微软雅黑" w:cs="微软雅黑"/>
          <w:sz w:val="32"/>
          <w:szCs w:val="24"/>
          <w:lang w:val="en-US" w:eastAsia="zh-CN"/>
        </w:rPr>
      </w:pPr>
      <w:r>
        <w:rPr>
          <w:rFonts w:hint="eastAsia" w:ascii="微软雅黑" w:hAnsi="微软雅黑" w:eastAsia="微软雅黑" w:cs="微软雅黑"/>
          <w:sz w:val="32"/>
          <w:szCs w:val="24"/>
          <w:lang w:val="en-US" w:eastAsia="zh-CN"/>
        </w:rPr>
        <w:t>襄阳市中心医院院内采购项目采购文件</w:t>
      </w:r>
    </w:p>
    <w:p>
      <w:pPr>
        <w:pStyle w:val="4"/>
        <w:numPr>
          <w:ilvl w:val="0"/>
          <w:numId w:val="1"/>
        </w:numPr>
        <w:bidi w:val="0"/>
        <w:ind w:left="0" w:leftChars="0" w:firstLine="402" w:firstLineChars="0"/>
        <w:jc w:val="center"/>
        <w:rPr>
          <w:rFonts w:hint="eastAsia" w:ascii="微软雅黑" w:hAnsi="微软雅黑" w:eastAsia="微软雅黑" w:cs="微软雅黑"/>
          <w:sz w:val="32"/>
          <w:szCs w:val="24"/>
          <w:lang w:val="en-US" w:eastAsia="zh-CN"/>
        </w:rPr>
      </w:pPr>
      <w:r>
        <w:rPr>
          <w:rFonts w:hint="eastAsia" w:ascii="微软雅黑" w:hAnsi="微软雅黑" w:eastAsia="微软雅黑" w:cs="微软雅黑"/>
          <w:sz w:val="32"/>
          <w:szCs w:val="24"/>
          <w:lang w:val="en-US" w:eastAsia="zh-CN"/>
        </w:rPr>
        <w:t>采购公告（代采购邀请函）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襄阳市中心医院拟对如下项目进行采购，现发布本采购公告（代采购邀请函），欢迎符合条件且诚意合作的供应商报名参与。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项目概述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项目编码：ZBB-2023-084</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项目名称：东津院区门诊停车场车辆管理设备</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项目预算及最高限价：</w:t>
      </w:r>
      <w:r>
        <w:rPr>
          <w:rFonts w:hint="eastAsia" w:ascii="微软雅黑" w:hAnsi="微软雅黑" w:eastAsia="微软雅黑" w:cs="微软雅黑"/>
          <w:b w:val="0"/>
          <w:bCs w:val="0"/>
          <w:color w:val="auto"/>
          <w:u w:val="single"/>
          <w:lang w:val="en-US" w:eastAsia="zh-CN"/>
        </w:rPr>
        <w:t>133800</w:t>
      </w:r>
      <w:r>
        <w:rPr>
          <w:rFonts w:hint="eastAsia" w:ascii="微软雅黑" w:hAnsi="微软雅黑" w:eastAsia="微软雅黑" w:cs="微软雅黑"/>
          <w:b w:val="0"/>
          <w:bCs w:val="0"/>
          <w:color w:val="auto"/>
          <w:u w:val="none"/>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项目概述：为加强车辆管理，规范车辆停放，拟在门诊停车场4个出入口设置车辆管理设备。</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18"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主要采购内容：车牌识别控制一体机4台、智能道闸机4台、高清车牌识别一体机-（辅机）4台、值班岗亭2个、管理电脑1台。</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18"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包含的其他采购内容：详见第三章 采购需求</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18"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合同履约期限：</w:t>
      </w:r>
      <w:r>
        <w:rPr>
          <w:rFonts w:hint="eastAsia" w:ascii="微软雅黑" w:hAnsi="微软雅黑" w:eastAsia="微软雅黑" w:cs="微软雅黑"/>
          <w:b w:val="0"/>
          <w:bCs w:val="0"/>
          <w:color w:val="auto"/>
          <w:sz w:val="21"/>
          <w:szCs w:val="21"/>
          <w:vertAlign w:val="baseline"/>
          <w:lang w:val="en-US" w:eastAsia="zh-CN"/>
        </w:rPr>
        <w:t>供货周期15日历天以内，安装工期30日历天以内完工</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18"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其他：无</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供应商资格要求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sz w:val="21"/>
          <w:szCs w:val="21"/>
          <w:lang w:val="en-US" w:eastAsia="zh-CN"/>
        </w:rPr>
        <w:t>满足《中华人民共和国政府采购法》第二十二条规定，即：</w:t>
      </w:r>
      <w:r>
        <w:rPr>
          <w:rFonts w:hint="eastAsia" w:ascii="微软雅黑" w:hAnsi="微软雅黑" w:eastAsia="微软雅黑" w:cs="微软雅黑"/>
          <w:sz w:val="21"/>
          <w:szCs w:val="21"/>
          <w:lang w:val="en-US" w:eastAsia="zh-CN"/>
        </w:rPr>
        <w:t>（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单位负责人为同一人或者存在直接控股、管理关系的不同投标人，不得参加本项目同一合同项下的采购活动。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为本采购项目提供整体设计、规范编制或者项目管理、监理、检测等服务的，不得再参加本项目的其他招标采购活动。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lang w:val="en-US" w:eastAsia="zh-CN"/>
        </w:rPr>
        <w:t>未被列入失信被执行人、重大税收违法失信主体，未被列入政府采购严重违法失信</w:t>
      </w:r>
      <w:r>
        <w:rPr>
          <w:rFonts w:hint="eastAsia" w:ascii="微软雅黑" w:hAnsi="微软雅黑" w:eastAsia="微软雅黑" w:cs="微软雅黑"/>
          <w:b w:val="0"/>
          <w:bCs w:val="0"/>
          <w:color w:val="auto"/>
          <w:lang w:val="en-US" w:eastAsia="zh-CN"/>
        </w:rPr>
        <w:t>行为记录名单。</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38"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（1）近三年有不少于1个停车场管理设备项目业绩（提供合同复印件、付款凭证）。</w:t>
      </w:r>
    </w:p>
    <w:p>
      <w:pPr>
        <w:pStyle w:val="12"/>
        <w:numPr>
          <w:ilvl w:val="0"/>
          <w:numId w:val="0"/>
        </w:numPr>
        <w:ind w:left="438" w:leftChars="0"/>
        <w:rPr>
          <w:rFonts w:hint="eastAsia" w:ascii="微软雅黑" w:hAnsi="微软雅黑" w:eastAsia="微软雅黑" w:cs="微软雅黑"/>
          <w:b w:val="0"/>
          <w:bCs w:val="0"/>
          <w:kern w:val="2"/>
          <w:sz w:val="21"/>
          <w:szCs w:val="24"/>
          <w:lang w:val="en-US" w:eastAsia="zh-CN" w:bidi="ar-SA"/>
        </w:rPr>
      </w:pPr>
      <w:r>
        <w:rPr>
          <w:rFonts w:hint="eastAsia" w:ascii="微软雅黑" w:hAnsi="微软雅黑" w:eastAsia="微软雅黑" w:cs="微软雅黑"/>
          <w:b w:val="0"/>
          <w:bCs w:val="0"/>
          <w:color w:val="auto"/>
          <w:kern w:val="2"/>
          <w:sz w:val="21"/>
          <w:szCs w:val="21"/>
          <w:vertAlign w:val="baseline"/>
          <w:lang w:val="en-US" w:eastAsia="zh-CN" w:bidi="ar-SA"/>
        </w:rPr>
        <w:t>（2）</w:t>
      </w:r>
      <w:r>
        <w:rPr>
          <w:rFonts w:hint="default" w:ascii="微软雅黑" w:hAnsi="微软雅黑" w:eastAsia="微软雅黑" w:cs="微软雅黑"/>
          <w:b w:val="0"/>
          <w:bCs w:val="0"/>
          <w:kern w:val="2"/>
          <w:sz w:val="21"/>
          <w:szCs w:val="24"/>
          <w:lang w:val="en-US" w:eastAsia="zh-CN" w:bidi="ar-SA"/>
        </w:rPr>
        <w:t>质量保证措施科学合理，有完善的技术服务保障体系，售后服务承诺安排完善</w:t>
      </w:r>
      <w:r>
        <w:rPr>
          <w:rFonts w:hint="eastAsia" w:ascii="微软雅黑" w:hAnsi="微软雅黑" w:eastAsia="微软雅黑" w:cs="微软雅黑"/>
          <w:b w:val="0"/>
          <w:bCs w:val="0"/>
          <w:kern w:val="2"/>
          <w:sz w:val="21"/>
          <w:szCs w:val="24"/>
          <w:lang w:val="en-US" w:eastAsia="zh-CN" w:bidi="ar-SA"/>
        </w:rPr>
        <w:t>（提供在襄阳市区内服务网点证明并加盖公章）。</w:t>
      </w:r>
    </w:p>
    <w:p>
      <w:pPr>
        <w:pStyle w:val="12"/>
        <w:numPr>
          <w:ilvl w:val="0"/>
          <w:numId w:val="0"/>
        </w:numPr>
        <w:ind w:left="438" w:leftChars="0"/>
        <w:rPr>
          <w:rFonts w:hint="eastAsia" w:ascii="微软雅黑" w:hAnsi="微软雅黑" w:eastAsia="微软雅黑" w:cs="微软雅黑"/>
          <w:b w:val="0"/>
          <w:bCs w:val="0"/>
          <w:color w:val="0070C0"/>
          <w:lang w:val="en-US" w:eastAsia="zh-CN"/>
        </w:rPr>
      </w:pPr>
      <w:r>
        <w:rPr>
          <w:rFonts w:hint="eastAsia" w:ascii="微软雅黑" w:hAnsi="微软雅黑" w:eastAsia="微软雅黑" w:cs="微软雅黑"/>
          <w:b w:val="0"/>
          <w:bCs w:val="0"/>
          <w:color w:val="auto"/>
          <w:sz w:val="21"/>
          <w:szCs w:val="21"/>
          <w:vertAlign w:val="baseline"/>
          <w:lang w:val="en-US" w:eastAsia="zh-CN"/>
        </w:rPr>
        <w:t>（3）项目平台预留接口，和现有停车收费系统可互联互通。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jc w:val="left"/>
        <w:textAlignment w:val="auto"/>
        <w:rPr>
          <w:rFonts w:hint="eastAsia" w:ascii="微软雅黑" w:hAnsi="微软雅黑" w:eastAsia="微软雅黑" w:cs="微软雅黑"/>
          <w:b w:val="0"/>
          <w:bCs w:val="0"/>
          <w:color w:val="0070C0"/>
          <w:lang w:val="en-US" w:eastAsia="zh-CN"/>
        </w:rPr>
      </w:pPr>
      <w:r>
        <w:rPr>
          <w:rFonts w:hint="eastAsia" w:ascii="微软雅黑" w:hAnsi="微软雅黑" w:eastAsia="微软雅黑" w:cs="微软雅黑"/>
          <w:b w:val="0"/>
          <w:bCs w:val="0"/>
          <w:color w:val="auto"/>
          <w:sz w:val="21"/>
          <w:szCs w:val="21"/>
          <w:vertAlign w:val="baseline"/>
          <w:lang w:val="en-US" w:eastAsia="zh-CN"/>
        </w:rPr>
        <w:t>（4）提供厂家</w:t>
      </w:r>
      <w:r>
        <w:rPr>
          <w:rFonts w:hint="default" w:ascii="微软雅黑" w:hAnsi="微软雅黑" w:eastAsia="微软雅黑" w:cs="微软雅黑"/>
          <w:b w:val="0"/>
          <w:bCs w:val="0"/>
          <w:color w:val="auto"/>
          <w:sz w:val="21"/>
          <w:szCs w:val="21"/>
          <w:vertAlign w:val="baseline"/>
          <w:lang w:val="en-US" w:eastAsia="zh-CN"/>
        </w:rPr>
        <w:t>授权、</w:t>
      </w:r>
      <w:r>
        <w:rPr>
          <w:rFonts w:hint="eastAsia" w:ascii="微软雅黑" w:hAnsi="微软雅黑" w:eastAsia="微软雅黑" w:cs="微软雅黑"/>
          <w:b w:val="0"/>
          <w:bCs w:val="0"/>
          <w:color w:val="auto"/>
          <w:sz w:val="21"/>
          <w:szCs w:val="21"/>
          <w:vertAlign w:val="baseline"/>
          <w:lang w:val="en-US" w:eastAsia="zh-CN"/>
        </w:rPr>
        <w:t>资质</w:t>
      </w:r>
      <w:r>
        <w:rPr>
          <w:rFonts w:hint="default" w:ascii="微软雅黑" w:hAnsi="微软雅黑" w:eastAsia="微软雅黑" w:cs="微软雅黑"/>
          <w:b w:val="0"/>
          <w:bCs w:val="0"/>
          <w:color w:val="auto"/>
          <w:sz w:val="21"/>
          <w:szCs w:val="21"/>
          <w:vertAlign w:val="baseline"/>
          <w:lang w:val="en-US" w:eastAsia="zh-CN"/>
        </w:rPr>
        <w:t>证书、</w:t>
      </w:r>
      <w:r>
        <w:rPr>
          <w:rFonts w:hint="eastAsia" w:ascii="微软雅黑" w:hAnsi="微软雅黑" w:eastAsia="微软雅黑" w:cs="微软雅黑"/>
          <w:b w:val="0"/>
          <w:bCs w:val="0"/>
          <w:color w:val="auto"/>
          <w:sz w:val="21"/>
          <w:szCs w:val="21"/>
          <w:vertAlign w:val="baseline"/>
          <w:lang w:val="en-US" w:eastAsia="zh-CN"/>
        </w:rPr>
        <w:t>公司财务状况等信息。</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供应商报名须知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报名时间：2023年12月13日0时0分起至2023年12月19</w:t>
      </w:r>
      <w:bookmarkStart w:id="24" w:name="_GoBack"/>
      <w:bookmarkEnd w:id="24"/>
      <w:r>
        <w:rPr>
          <w:rFonts w:hint="eastAsia" w:ascii="微软雅黑" w:hAnsi="微软雅黑" w:eastAsia="微软雅黑" w:cs="微软雅黑"/>
          <w:b w:val="0"/>
          <w:bCs w:val="0"/>
          <w:color w:val="auto"/>
          <w:lang w:val="en-US" w:eastAsia="zh-CN"/>
        </w:rPr>
        <w:t>日23时59分止。（逾期不予接收）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报名方式及注意事项：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18"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邮件报名。请供应商将报名资料盖章扫描后发送至招标办邮箱（3597509855@qq.com），报名时间以发送至招标办邮箱时间为准。如有疑问，可电话咨询招标办工作人员，工作人员对其进行指导。</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18"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①供应商下载并填写附件“供应商报名资料模板”，资料加盖公章，并上传彩色扫描件，报名文件为PDF格式，文件名以（项目编号+项目名称）+单位全称形式命名投标人；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②供应商下载并填写附件“供应商报名登记表”，以表格形式提交。</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供应商投标须知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开标及递交文件截止时间：开标当日上午9:00或下午15:00，具体以采购人电话通知时间为准（0710-3520178）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递交响应文件注意事项：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18"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现场递交：供应商接到会议通知后，在通知的截止时间前将响应文件（含样品）递交至会议通知的指定地点。供应商参会代表应同时携带身份证原件、法定代表人身份证明书或法定代表人授权委托书、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18"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开标地点：襄阳市中心医院东津院区门诊医技楼D2区四楼4号会议室（暂定，如有更改，采购人会以电话0710-3520178通知）</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供应商其他注意事项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要求提供样品的项目，供应商必须与响应文件一同提交样品，否则视为弃权。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供应商应在截止时间前送达并递交响应文件，逾期不予接收。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联系方式</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招标办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lang w:val="en-US" w:eastAsia="zh-CN"/>
        </w:rPr>
      </w:pPr>
      <w:r>
        <w:rPr>
          <w:rFonts w:hint="eastAsia" w:ascii="微软雅黑" w:hAnsi="微软雅黑" w:eastAsia="微软雅黑" w:cs="微软雅黑"/>
          <w:b w:val="0"/>
          <w:bCs w:val="0"/>
          <w:color w:val="auto"/>
          <w:lang w:val="en-US" w:eastAsia="zh-CN"/>
        </w:rPr>
        <w:t>地址：襄阳市中心医院东津院区门诊医技楼D2区四楼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联系人：王老师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联系电话：0710-2815397</w:t>
      </w:r>
    </w:p>
    <w:p>
      <w:pPr>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供应商须知</w:t>
      </w:r>
    </w:p>
    <w:p>
      <w:pPr>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供应商应严格按照本采购文件及须知要求进行响应，否则采购人有权否决</w:t>
      </w:r>
    </w:p>
    <w:tbl>
      <w:tblPr>
        <w:tblStyle w:val="1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序号</w:t>
            </w:r>
          </w:p>
        </w:tc>
        <w:tc>
          <w:tcPr>
            <w:tcW w:w="1398"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条款名称</w:t>
            </w:r>
          </w:p>
        </w:tc>
        <w:tc>
          <w:tcPr>
            <w:tcW w:w="67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采购人</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襄阳市中心医院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响应文件装订要求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响应文件编列要求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响应文件有效期</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采购方式</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项目类型</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样品</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需要提交；</w:t>
            </w: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auto"/>
                <w:lang w:val="en-US" w:eastAsia="zh-CN"/>
              </w:rPr>
            </w:pPr>
            <w:r>
              <w:rPr>
                <w:rFonts w:hint="eastAsia" w:ascii="微软雅黑" w:hAnsi="微软雅黑" w:eastAsia="微软雅黑" w:cs="微软雅黑"/>
                <w:color w:val="auto"/>
                <w:sz w:val="21"/>
                <w:szCs w:val="21"/>
                <w:vertAlign w:val="baseline"/>
                <w:lang w:val="en-US" w:eastAsia="zh-CN"/>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定标办法</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综合评价；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最低价；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澄清答疑</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签字盖章要求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报价要求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解释权</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本采购文件解释权归襄阳市中心医院所有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质疑投诉</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若供应商认为采购过程和中标结果使自己的合法权益受到损害，可在项目结果公示期内以书面形式向采购人提出质疑并要求答复，但答复的内容不得涉及商业秘密。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质疑供应商对采购人的答复不满意，可在答复后15个工作日内向医院纪检（监察）办公室（0710-3535192）投诉。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合同授予</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信誉要求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发送至招标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本项目是否专门面向中小微企业</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是；</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其他</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技术参数详见附件。</w:t>
            </w:r>
          </w:p>
        </w:tc>
      </w:tr>
    </w:tbl>
    <w:p>
      <w:pPr>
        <w:rPr>
          <w:rFonts w:hint="default" w:ascii="微软雅黑" w:hAnsi="微软雅黑" w:eastAsia="微软雅黑" w:cs="微软雅黑"/>
          <w:b w:val="0"/>
          <w:bCs w:val="0"/>
          <w:sz w:val="21"/>
          <w:szCs w:val="21"/>
          <w:lang w:val="en-US" w:eastAsia="zh-CN"/>
        </w:rPr>
      </w:pPr>
      <w:r>
        <w:rPr>
          <w:rFonts w:hint="default" w:ascii="微软雅黑" w:hAnsi="微软雅黑" w:eastAsia="微软雅黑" w:cs="微软雅黑"/>
          <w:b w:val="0"/>
          <w:bCs w:val="0"/>
          <w:sz w:val="21"/>
          <w:szCs w:val="21"/>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color w:val="auto"/>
          <w:sz w:val="32"/>
          <w:szCs w:val="24"/>
          <w:lang w:val="en-US" w:eastAsia="zh-CN"/>
        </w:rPr>
      </w:pPr>
      <w:r>
        <w:rPr>
          <w:rFonts w:hint="eastAsia" w:ascii="微软雅黑" w:hAnsi="微软雅黑" w:eastAsia="微软雅黑" w:cs="微软雅黑"/>
          <w:b/>
          <w:color w:val="auto"/>
          <w:sz w:val="32"/>
          <w:szCs w:val="24"/>
          <w:lang w:val="en-US" w:eastAsia="zh-CN"/>
        </w:rPr>
        <w:t>采购需求 （本章按项目情况编制）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b/>
          <w:bCs/>
          <w:color w:val="auto"/>
          <w:sz w:val="21"/>
          <w:szCs w:val="21"/>
          <w:lang w:val="en-US" w:eastAsia="zh-CN"/>
        </w:rPr>
        <w:t>工程内容、货物清单、服务内容（自行填写，表格可自行调整）</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3159"/>
        <w:gridCol w:w="978"/>
        <w:gridCol w:w="165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序号</w:t>
            </w:r>
          </w:p>
        </w:tc>
        <w:tc>
          <w:tcPr>
            <w:tcW w:w="3159"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采购内容</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数量</w:t>
            </w:r>
          </w:p>
        </w:tc>
        <w:tc>
          <w:tcPr>
            <w:tcW w:w="1651"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单价</w:t>
            </w:r>
          </w:p>
        </w:tc>
        <w:tc>
          <w:tcPr>
            <w:tcW w:w="1985"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车牌识别控制一体机</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4台</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2</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高清车牌识别一体机-（辅机）</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2台</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3</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防砸雷达检测器</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4台</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4</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智能道闸-快速-直杆</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4台</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5</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触发雷达</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4台</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6</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千兆交换机-8口</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3台</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7</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值班岗亭</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2个</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8</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管理电脑</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1台</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9</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安全岛部分</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4项</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10</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PVC线管</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600米</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11</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设备电源线</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380米</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12</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网络通讯线</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320米</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13</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辅材</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1项</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14</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安装调试</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1项</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15</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电源线、网线布线</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1项</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16</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光纤收发器</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3对</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17</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单膜光纤跳线</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12条</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18</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光纤藕合器</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6个</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19</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光纤尾纤</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12条</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20</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光纤终端盒</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6个</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21</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四位五孔插排</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5个</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22</w:t>
            </w:r>
          </w:p>
        </w:tc>
        <w:tc>
          <w:tcPr>
            <w:tcW w:w="3159"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空开32A</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5个</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23</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沥青路面开挖及恢复</w:t>
            </w:r>
          </w:p>
        </w:tc>
        <w:tc>
          <w:tcPr>
            <w:tcW w:w="978"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1项</w:t>
            </w:r>
          </w:p>
        </w:tc>
        <w:tc>
          <w:tcPr>
            <w:tcW w:w="165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bl>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技术或服务要求（详见附件）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可填写货物技术参数、规格等要求。（货物类）</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施工方需保证施工现场的安全性，需为施工人员购买意外保险，如出现安全问题由施工方负责。（施工类）</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bookmarkStart w:id="0" w:name="_Toc13208"/>
      <w:r>
        <w:rPr>
          <w:rFonts w:hint="eastAsia" w:ascii="微软雅黑" w:hAnsi="微软雅黑" w:eastAsia="微软雅黑" w:cs="微软雅黑"/>
          <w:b w:val="0"/>
          <w:bCs w:val="0"/>
          <w:color w:val="auto"/>
          <w:sz w:val="21"/>
          <w:szCs w:val="21"/>
          <w:vertAlign w:val="baseline"/>
          <w:lang w:val="en-US" w:eastAsia="zh-CN"/>
        </w:rPr>
        <w:t>服务人员或标准（服务或其他）。</w:t>
      </w:r>
      <w:bookmarkEnd w:id="0"/>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商务要求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合同履约期限：供货周期15日历天以内，安装工期30日历天以内完工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2.质保期：2年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3.服务要求：设备出现故障后应在30分钟内到达项目现场并于1个小时内解决故障。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4.结算方式：银行转账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5.合同条款：设备安装验收合格付90%，质保期到后付余款10%。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6.供应商资格条件：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(1)供应商须在中华人民共和国境内注册，具有独立法人资格及有效的营业执照；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(2)供应商财务状况良好，近两年无亏损。须提交公司2021年、2022年财务审计报告。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200" w:firstLine="0"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(3)供应商近三年（自响应文件递交截止时间前36个月，以合同签订时间为准）至少具有1项合同金额在10万元及以上的电动汽车充电桩设备销售安装业绩，提供合同复印件加盖公章。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(4)供应商未被列入“信用中国”网站(www.creditchina.gov.cn)失信被执行人、重大税收违法案件当事人、政府采购严重违法失信行为记录名单，提供本项目招标公告发布后的网页查询结果截图并提供书面承诺加盖公章。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7.其他：无</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其他要求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技术参数详见附件。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val="0"/>
          <w:color w:val="0070C0"/>
          <w:sz w:val="21"/>
          <w:szCs w:val="21"/>
          <w:vertAlign w:val="baseline"/>
          <w:lang w:val="en-US" w:eastAsia="zh-CN"/>
        </w:rPr>
      </w:pPr>
    </w:p>
    <w:p>
      <w:pPr>
        <w:pStyle w:val="13"/>
        <w:rPr>
          <w:rFonts w:hint="default" w:ascii="微软雅黑" w:hAnsi="微软雅黑" w:eastAsia="微软雅黑" w:cs="微软雅黑"/>
          <w:b w:val="0"/>
          <w:bCs w:val="0"/>
          <w:color w:val="0070C0"/>
          <w:sz w:val="21"/>
          <w:szCs w:val="21"/>
          <w:vertAlign w:val="baseline"/>
          <w:lang w:val="en-US" w:eastAsia="zh-CN"/>
        </w:rPr>
      </w:pPr>
    </w:p>
    <w:p>
      <w:pPr>
        <w:rPr>
          <w:rFonts w:hint="eastAsia" w:ascii="微软雅黑" w:hAnsi="微软雅黑" w:eastAsia="微软雅黑" w:cs="微软雅黑"/>
          <w:b w:val="0"/>
          <w:bCs w:val="0"/>
          <w:color w:val="FF0000"/>
          <w:sz w:val="21"/>
          <w:szCs w:val="21"/>
          <w:vertAlign w:val="baseline"/>
          <w:lang w:val="en-US" w:eastAsia="zh-CN"/>
        </w:rPr>
      </w:pPr>
      <w:r>
        <w:rPr>
          <w:rFonts w:hint="default" w:ascii="微软雅黑" w:hAnsi="微软雅黑" w:eastAsia="微软雅黑" w:cs="微软雅黑"/>
          <w:b w:val="0"/>
          <w:bCs w:val="0"/>
          <w:color w:val="FF0000"/>
          <w:sz w:val="21"/>
          <w:szCs w:val="21"/>
          <w:vertAlign w:val="baseline"/>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评标办法</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bookmarkStart w:id="1" w:name="_Toc29038"/>
      <w:r>
        <w:rPr>
          <w:rFonts w:hint="eastAsia" w:ascii="微软雅黑" w:hAnsi="微软雅黑" w:eastAsia="微软雅黑" w:cs="微软雅黑"/>
          <w:b/>
          <w:bCs/>
          <w:lang w:val="en-US" w:eastAsia="zh-CN"/>
        </w:rPr>
        <w:t>初步评审</w:t>
      </w:r>
      <w:bookmarkEnd w:id="1"/>
    </w:p>
    <w:tbl>
      <w:tblPr>
        <w:tblStyle w:val="9"/>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审查内容</w:t>
            </w:r>
          </w:p>
        </w:tc>
        <w:tc>
          <w:tcPr>
            <w:tcW w:w="6284" w:type="dxa"/>
            <w:tcBorders>
              <w:lef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sz w:val="24"/>
                <w:szCs w:val="24"/>
              </w:rPr>
            </w:pPr>
            <w:r>
              <w:rPr>
                <w:rFonts w:hint="eastAsia" w:ascii="仿宋" w:hAnsi="仿宋" w:eastAsia="仿宋"/>
                <w:b/>
                <w:sz w:val="24"/>
                <w:szCs w:val="24"/>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具有独立承担民事责任的能力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(1)提供具备满足本项目的设施设备的证明材料；</w:t>
            </w:r>
          </w:p>
          <w:p>
            <w:pPr>
              <w:spacing w:line="320" w:lineRule="exact"/>
              <w:rPr>
                <w:rFonts w:ascii="仿宋" w:hAnsi="仿宋" w:eastAsia="仿宋"/>
                <w:sz w:val="24"/>
                <w:szCs w:val="24"/>
              </w:rPr>
            </w:pPr>
            <w:r>
              <w:rPr>
                <w:rFonts w:hint="eastAsia" w:ascii="仿宋" w:hAnsi="仿宋" w:eastAsia="仿宋"/>
                <w:sz w:val="24"/>
                <w:szCs w:val="24"/>
              </w:rPr>
              <w:t>(2)提供具备满足本项目的技术、服务人员的证明材料；</w:t>
            </w:r>
          </w:p>
          <w:p>
            <w:pPr>
              <w:spacing w:line="320" w:lineRule="exact"/>
              <w:rPr>
                <w:rFonts w:ascii="仿宋" w:hAnsi="仿宋" w:eastAsia="仿宋"/>
                <w:sz w:val="24"/>
                <w:szCs w:val="24"/>
                <w:highlight w:val="yellow"/>
              </w:rPr>
            </w:pPr>
            <w:r>
              <w:rPr>
                <w:rFonts w:hint="eastAsia" w:ascii="仿宋" w:hAnsi="仿宋" w:eastAsia="仿宋"/>
                <w:sz w:val="24"/>
                <w:szCs w:val="24"/>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sz w:val="24"/>
                <w:szCs w:val="24"/>
                <w:lang w:val="zh-CN"/>
              </w:rPr>
            </w:pPr>
            <w:r>
              <w:rPr>
                <w:rFonts w:hint="eastAsia" w:ascii="仿宋" w:hAnsi="仿宋" w:eastAsia="仿宋"/>
                <w:sz w:val="24"/>
                <w:szCs w:val="24"/>
              </w:rPr>
              <w:t>(1)提供近一段时间</w:t>
            </w:r>
            <w:r>
              <w:rPr>
                <w:rFonts w:hint="eastAsia" w:ascii="仿宋" w:hAnsi="仿宋" w:eastAsia="仿宋"/>
                <w:sz w:val="24"/>
                <w:szCs w:val="24"/>
                <w:lang w:val="zh-CN"/>
              </w:rPr>
              <w:t>缴纳税收的凭据；</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lang w:val="zh-CN"/>
              </w:rPr>
              <w:t>(2)</w:t>
            </w:r>
            <w:r>
              <w:rPr>
                <w:rFonts w:hint="eastAsia" w:ascii="仿宋" w:hAnsi="仿宋" w:eastAsia="仿宋"/>
                <w:sz w:val="24"/>
                <w:szCs w:val="24"/>
              </w:rPr>
              <w:t>提供近一段时间</w:t>
            </w:r>
            <w:r>
              <w:rPr>
                <w:rFonts w:hint="eastAsia" w:ascii="仿宋" w:hAnsi="仿宋" w:eastAsia="仿宋"/>
                <w:sz w:val="24"/>
                <w:szCs w:val="24"/>
                <w:lang w:val="zh-CN"/>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sz w:val="24"/>
                <w:szCs w:val="24"/>
                <w:highlight w:val="yellow"/>
              </w:rPr>
            </w:pPr>
            <w:r>
              <w:rPr>
                <w:rFonts w:hint="eastAsia" w:ascii="仿宋" w:hAnsi="仿宋" w:eastAsia="仿宋"/>
                <w:sz w:val="24"/>
                <w:szCs w:val="24"/>
              </w:rPr>
              <w:t>提供承诺书，</w:t>
            </w:r>
            <w:r>
              <w:rPr>
                <w:rFonts w:hint="eastAsia" w:ascii="仿宋" w:hAnsi="仿宋" w:eastAsia="仿宋"/>
                <w:sz w:val="24"/>
                <w:szCs w:val="24"/>
                <w:lang w:val="zh-CN"/>
              </w:rPr>
              <w:t>格式详见</w:t>
            </w:r>
            <w:r>
              <w:rPr>
                <w:rFonts w:hint="eastAsia" w:ascii="仿宋" w:hAnsi="仿宋" w:eastAsia="仿宋"/>
                <w:sz w:val="24"/>
                <w:szCs w:val="24"/>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法律、行政法规规定的其他条件</w:t>
            </w:r>
          </w:p>
        </w:tc>
        <w:tc>
          <w:tcPr>
            <w:tcW w:w="6284" w:type="dxa"/>
            <w:tcBorders>
              <w:left w:val="single" w:color="auto" w:sz="4" w:space="0"/>
            </w:tcBorders>
            <w:vAlign w:val="center"/>
          </w:tcPr>
          <w:p>
            <w:pPr>
              <w:spacing w:line="320" w:lineRule="exact"/>
              <w:rPr>
                <w:rFonts w:ascii="仿宋" w:hAnsi="仿宋" w:eastAsia="仿宋"/>
                <w:sz w:val="24"/>
                <w:szCs w:val="24"/>
                <w:highlight w:val="yellow"/>
              </w:rPr>
            </w:pPr>
            <w:r>
              <w:rPr>
                <w:rFonts w:hint="eastAsia" w:ascii="仿宋" w:hAnsi="仿宋" w:eastAsia="仿宋"/>
                <w:sz w:val="24"/>
                <w:szCs w:val="24"/>
                <w:lang w:val="zh-CN"/>
              </w:rPr>
              <w:t>（</w:t>
            </w:r>
            <w:r>
              <w:rPr>
                <w:rFonts w:hint="eastAsia" w:ascii="仿宋" w:hAnsi="仿宋" w:eastAsia="仿宋"/>
                <w:sz w:val="24"/>
                <w:szCs w:val="24"/>
              </w:rPr>
              <w:t>供应商主动自行提供）</w:t>
            </w:r>
            <w:r>
              <w:rPr>
                <w:rFonts w:hint="eastAsia" w:ascii="仿宋" w:hAnsi="仿宋" w:eastAsia="仿宋"/>
                <w:sz w:val="24"/>
                <w:szCs w:val="24"/>
                <w:lang w:val="zh-CN"/>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禁止参加情况</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(1)单位负责人为同一人或者存在直接控股、管理关系的不同投标人，不得参加本项目同一合同项下的政府采购活动。</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主体信用记录</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sz w:val="24"/>
                <w:szCs w:val="24"/>
              </w:rPr>
              <w:t>特定资格条件</w:t>
            </w:r>
          </w:p>
        </w:tc>
        <w:tc>
          <w:tcPr>
            <w:tcW w:w="6284" w:type="dxa"/>
            <w:tcBorders>
              <w:lef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color w:val="FF0000"/>
                <w:sz w:val="24"/>
                <w:szCs w:val="24"/>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身份证明</w:t>
            </w:r>
            <w:r>
              <w:rPr>
                <w:rFonts w:hint="eastAsia" w:ascii="仿宋" w:hAnsi="仿宋" w:eastAsia="仿宋"/>
                <w:sz w:val="24"/>
                <w:szCs w:val="24"/>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每一种采购内容只有一个报价</w:t>
            </w:r>
            <w:r>
              <w:rPr>
                <w:rFonts w:hint="eastAsia" w:ascii="仿宋" w:hAnsi="仿宋" w:eastAsia="仿宋"/>
                <w:sz w:val="24"/>
                <w:szCs w:val="24"/>
              </w:rPr>
              <w:t>；</w:t>
            </w:r>
            <w:r>
              <w:rPr>
                <w:rFonts w:hint="eastAsia" w:ascii="仿宋" w:hAnsi="仿宋" w:eastAsia="仿宋" w:cs="微软雅黑"/>
                <w:kern w:val="0"/>
                <w:sz w:val="24"/>
                <w:szCs w:val="24"/>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cs="微软雅黑"/>
                <w:b/>
                <w:bCs/>
                <w:kern w:val="0"/>
                <w:sz w:val="24"/>
                <w:szCs w:val="24"/>
              </w:rPr>
              <w:t>*</w:t>
            </w:r>
            <w:r>
              <w:rPr>
                <w:rFonts w:hint="eastAsia" w:ascii="仿宋" w:hAnsi="仿宋" w:eastAsia="仿宋" w:cs="微软雅黑"/>
                <w:kern w:val="0"/>
                <w:sz w:val="24"/>
                <w:szCs w:val="24"/>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符合法律、法规和采购文件中规定的其他实质性内容的</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详细评分办法（详细评分表）</w:t>
      </w:r>
    </w:p>
    <w:tbl>
      <w:tblPr>
        <w:tblStyle w:val="9"/>
        <w:tblW w:w="9156" w:type="dxa"/>
        <w:jc w:val="center"/>
        <w:tblLayout w:type="fixed"/>
        <w:tblCellMar>
          <w:top w:w="0" w:type="dxa"/>
          <w:left w:w="108" w:type="dxa"/>
          <w:bottom w:w="0" w:type="dxa"/>
          <w:right w:w="108" w:type="dxa"/>
        </w:tblCellMar>
      </w:tblPr>
      <w:tblGrid>
        <w:gridCol w:w="470"/>
        <w:gridCol w:w="645"/>
        <w:gridCol w:w="1237"/>
        <w:gridCol w:w="709"/>
        <w:gridCol w:w="6095"/>
      </w:tblGrid>
      <w:tr>
        <w:tblPrEx>
          <w:tblCellMar>
            <w:top w:w="0" w:type="dxa"/>
            <w:left w:w="108" w:type="dxa"/>
            <w:bottom w:w="0" w:type="dxa"/>
            <w:right w:w="108" w:type="dxa"/>
          </w:tblCellMar>
        </w:tblPrEx>
        <w:trPr>
          <w:trHeight w:val="270" w:hRule="atLeast"/>
          <w:jc w:val="center"/>
        </w:trPr>
        <w:tc>
          <w:tcPr>
            <w:tcW w:w="47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内容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项目</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评审因素</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分值</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评审标准</w:t>
            </w:r>
          </w:p>
        </w:tc>
      </w:tr>
      <w:tr>
        <w:tblPrEx>
          <w:tblCellMar>
            <w:top w:w="0" w:type="dxa"/>
            <w:left w:w="108" w:type="dxa"/>
            <w:bottom w:w="0" w:type="dxa"/>
            <w:right w:w="108" w:type="dxa"/>
          </w:tblCellMar>
        </w:tblPrEx>
        <w:trPr>
          <w:trHeight w:val="981" w:hRule="atLeast"/>
          <w:jc w:val="center"/>
        </w:trPr>
        <w:tc>
          <w:tcPr>
            <w:tcW w:w="470" w:type="dxa"/>
            <w:vMerge w:val="restart"/>
            <w:tcBorders>
              <w:top w:val="nil"/>
              <w:left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评分办法</w:t>
            </w:r>
          </w:p>
        </w:tc>
        <w:tc>
          <w:tcPr>
            <w:tcW w:w="645" w:type="dxa"/>
            <w:vMerge w:val="restart"/>
            <w:tcBorders>
              <w:top w:val="nil"/>
              <w:left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商务评审</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spacing w:val="-6"/>
                <w:sz w:val="21"/>
                <w:szCs w:val="21"/>
                <w:highlight w:val="yellow"/>
              </w:rPr>
            </w:pPr>
            <w:r>
              <w:rPr>
                <w:rFonts w:hint="eastAsia" w:ascii="宋体" w:hAnsi="宋体" w:eastAsia="宋体" w:cs="宋体"/>
                <w:color w:val="auto"/>
                <w:sz w:val="18"/>
                <w:szCs w:val="18"/>
              </w:rPr>
              <w:t>类似项目业绩</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lang w:val="en-US" w:eastAsia="zh-CN"/>
              </w:rPr>
              <w:t>10</w:t>
            </w:r>
          </w:p>
        </w:tc>
        <w:tc>
          <w:tcPr>
            <w:tcW w:w="6095" w:type="dxa"/>
            <w:tcBorders>
              <w:top w:val="nil"/>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color w:val="auto"/>
                <w:spacing w:val="-6"/>
                <w:sz w:val="21"/>
                <w:szCs w:val="21"/>
                <w:lang w:val="en-US" w:eastAsia="zh-CN"/>
              </w:rPr>
            </w:pPr>
            <w:r>
              <w:rPr>
                <w:rFonts w:hint="eastAsia" w:ascii="宋体" w:hAnsi="宋体" w:eastAsia="宋体" w:cs="宋体"/>
                <w:color w:val="auto"/>
                <w:kern w:val="2"/>
                <w:sz w:val="18"/>
                <w:szCs w:val="18"/>
                <w:lang w:val="en-US" w:eastAsia="zh-CN" w:bidi="ar-SA"/>
              </w:rPr>
              <w:t>投标人（代理商或制造商）提供近三年（招标截止时间前36个月，以合同签订时间为准）的相同项目业绩。每提供1个得5分，最高得10分。（需提供合同复印件加盖投标单位公章）</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color w:val="auto"/>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color w:val="auto"/>
                <w:kern w:val="0"/>
                <w:sz w:val="21"/>
                <w:szCs w:val="21"/>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spacing w:val="-6"/>
                <w:sz w:val="21"/>
                <w:szCs w:val="21"/>
                <w:highlight w:val="yellow"/>
                <w:lang w:eastAsia="zh-CN"/>
              </w:rPr>
            </w:pPr>
            <w:r>
              <w:rPr>
                <w:rFonts w:hint="eastAsia" w:ascii="宋体" w:hAnsi="宋体" w:eastAsia="宋体" w:cs="宋体"/>
                <w:color w:val="auto"/>
                <w:sz w:val="18"/>
                <w:szCs w:val="18"/>
                <w:lang w:eastAsia="zh-CN"/>
              </w:rPr>
              <w:t>售后</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color w:val="auto"/>
                <w:spacing w:val="-6"/>
                <w:sz w:val="21"/>
                <w:szCs w:val="21"/>
                <w:lang w:val="en-US" w:eastAsia="zh-CN"/>
              </w:rPr>
            </w:pPr>
            <w:r>
              <w:rPr>
                <w:rFonts w:hint="eastAsia" w:ascii="微软雅黑" w:hAnsi="微软雅黑" w:eastAsia="微软雅黑" w:cs="微软雅黑"/>
                <w:b w:val="0"/>
                <w:bCs/>
                <w:color w:val="auto"/>
                <w:spacing w:val="-6"/>
                <w:sz w:val="21"/>
                <w:szCs w:val="21"/>
                <w:lang w:val="en-US" w:eastAsia="zh-CN"/>
              </w:rPr>
              <w:t>10</w:t>
            </w:r>
          </w:p>
        </w:tc>
        <w:tc>
          <w:tcPr>
            <w:tcW w:w="6095" w:type="dxa"/>
            <w:tcBorders>
              <w:top w:val="single" w:color="auto" w:sz="4" w:space="0"/>
              <w:left w:val="nil"/>
              <w:bottom w:val="single" w:color="auto" w:sz="4" w:space="0"/>
              <w:right w:val="single" w:color="auto" w:sz="4" w:space="0"/>
            </w:tcBorders>
            <w:shd w:val="clear" w:color="auto" w:fill="auto"/>
            <w:vAlign w:val="center"/>
          </w:tcPr>
          <w:p>
            <w:pPr>
              <w:pStyle w:val="13"/>
              <w:rPr>
                <w:rFonts w:hint="eastAsia" w:ascii="微软雅黑" w:hAnsi="微软雅黑" w:eastAsia="微软雅黑" w:cs="微软雅黑"/>
                <w:b w:val="0"/>
                <w:bCs/>
                <w:color w:val="auto"/>
                <w:spacing w:val="-6"/>
                <w:sz w:val="21"/>
                <w:szCs w:val="21"/>
                <w:lang w:eastAsia="zh-CN"/>
              </w:rPr>
            </w:pPr>
            <w:r>
              <w:rPr>
                <w:rFonts w:hint="eastAsia" w:ascii="宋体" w:hAnsi="宋体" w:eastAsia="宋体" w:cs="宋体"/>
                <w:color w:val="auto"/>
                <w:kern w:val="2"/>
                <w:sz w:val="18"/>
                <w:szCs w:val="18"/>
                <w:lang w:val="en-US" w:eastAsia="zh-CN" w:bidi="ar-SA"/>
              </w:rPr>
              <w:t>供应商须在本市不少于1家直属长期维修服务网点（提供服务网点证明），提供制造商售后服务承诺函（提供有制造商公章的证明材料的扫描件）。每提供1</w:t>
            </w:r>
            <w:r>
              <w:rPr>
                <w:rFonts w:hint="eastAsia" w:hAnsi="宋体" w:cs="宋体"/>
                <w:color w:val="auto"/>
                <w:kern w:val="2"/>
                <w:sz w:val="18"/>
                <w:szCs w:val="18"/>
                <w:lang w:val="en-US" w:eastAsia="zh-CN" w:bidi="ar-SA"/>
              </w:rPr>
              <w:t>项</w:t>
            </w:r>
            <w:r>
              <w:rPr>
                <w:rFonts w:hint="eastAsia" w:ascii="宋体" w:hAnsi="宋体" w:eastAsia="宋体" w:cs="宋体"/>
                <w:color w:val="auto"/>
                <w:kern w:val="2"/>
                <w:sz w:val="18"/>
                <w:szCs w:val="18"/>
                <w:lang w:val="en-US" w:eastAsia="zh-CN" w:bidi="ar-SA"/>
              </w:rPr>
              <w:t>得5分，最高得10分，两项都没有不得分。</w:t>
            </w:r>
          </w:p>
        </w:tc>
      </w:tr>
      <w:tr>
        <w:tblPrEx>
          <w:tblCellMar>
            <w:top w:w="0" w:type="dxa"/>
            <w:left w:w="108" w:type="dxa"/>
            <w:bottom w:w="0" w:type="dxa"/>
            <w:right w:w="108" w:type="dxa"/>
          </w:tblCellMar>
        </w:tblPrEx>
        <w:trPr>
          <w:trHeight w:val="1012"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color w:val="auto"/>
                <w:kern w:val="0"/>
                <w:sz w:val="21"/>
                <w:szCs w:val="21"/>
              </w:rPr>
            </w:pPr>
          </w:p>
        </w:tc>
        <w:tc>
          <w:tcPr>
            <w:tcW w:w="645"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color w:val="auto"/>
                <w:kern w:val="0"/>
                <w:sz w:val="21"/>
                <w:szCs w:val="21"/>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spacing w:val="-6"/>
                <w:sz w:val="21"/>
                <w:szCs w:val="21"/>
                <w:highlight w:val="yellow"/>
                <w:lang w:eastAsia="zh-CN"/>
              </w:rPr>
            </w:pPr>
            <w:r>
              <w:rPr>
                <w:rFonts w:hint="eastAsia" w:ascii="宋体" w:hAnsi="宋体" w:eastAsia="宋体" w:cs="宋体"/>
                <w:color w:val="auto"/>
                <w:sz w:val="18"/>
                <w:szCs w:val="18"/>
                <w:lang w:eastAsia="zh-CN"/>
              </w:rPr>
              <w:t>工期</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default"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lang w:val="en-US" w:eastAsia="zh-CN"/>
              </w:rPr>
              <w:t>10</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工期</w:t>
            </w:r>
            <w:r>
              <w:rPr>
                <w:rFonts w:hint="eastAsia" w:ascii="宋体" w:hAnsi="宋体" w:eastAsia="宋体" w:cs="宋体"/>
                <w:color w:val="auto"/>
                <w:sz w:val="18"/>
                <w:szCs w:val="18"/>
              </w:rPr>
              <w:t>应包含：</w:t>
            </w:r>
          </w:p>
          <w:p>
            <w:pPr>
              <w:spacing w:line="36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（1）施工组织设计完整，方案齐全，能解决施工中的各项难点；</w:t>
            </w:r>
          </w:p>
          <w:p>
            <w:pPr>
              <w:spacing w:line="36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（2）施工进度计划合理满足招标文件工期要求；</w:t>
            </w:r>
          </w:p>
          <w:p>
            <w:pPr>
              <w:spacing w:line="360" w:lineRule="exact"/>
              <w:jc w:val="left"/>
              <w:rPr>
                <w:rFonts w:hint="eastAsia" w:ascii="微软雅黑" w:hAnsi="微软雅黑" w:eastAsia="微软雅黑" w:cs="微软雅黑"/>
                <w:b w:val="0"/>
                <w:bCs/>
                <w:color w:val="auto"/>
                <w:spacing w:val="-6"/>
                <w:sz w:val="21"/>
                <w:szCs w:val="21"/>
              </w:rPr>
            </w:pPr>
            <w:r>
              <w:rPr>
                <w:rFonts w:hint="eastAsia" w:ascii="宋体" w:hAnsi="宋体" w:eastAsia="宋体" w:cs="宋体"/>
                <w:color w:val="auto"/>
                <w:sz w:val="18"/>
                <w:szCs w:val="18"/>
              </w:rPr>
              <w:t>以上每项需从以下方面综合评价：符合度、完整性、合理性。每一项完全满足以上要求的得5分，较为满足的得3分，存在缺陷或缺漏项的得1分，未响应或未提供的得0分，最多得</w:t>
            </w: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分。</w:t>
            </w:r>
          </w:p>
        </w:tc>
      </w:tr>
      <w:tr>
        <w:tblPrEx>
          <w:tblCellMar>
            <w:top w:w="0" w:type="dxa"/>
            <w:left w:w="108" w:type="dxa"/>
            <w:bottom w:w="0" w:type="dxa"/>
            <w:right w:w="108" w:type="dxa"/>
          </w:tblCellMar>
        </w:tblPrEx>
        <w:trPr>
          <w:trHeight w:val="2710"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color w:val="auto"/>
                <w:kern w:val="0"/>
                <w:sz w:val="21"/>
                <w:szCs w:val="21"/>
              </w:rPr>
            </w:pPr>
          </w:p>
        </w:tc>
        <w:tc>
          <w:tcPr>
            <w:tcW w:w="645" w:type="dxa"/>
            <w:tcBorders>
              <w:top w:val="single" w:color="auto" w:sz="4" w:space="0"/>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技术评审</w:t>
            </w:r>
          </w:p>
        </w:tc>
        <w:tc>
          <w:tcPr>
            <w:tcW w:w="1237"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color w:val="auto"/>
                <w:spacing w:val="-6"/>
                <w:sz w:val="21"/>
                <w:szCs w:val="21"/>
                <w:highlight w:val="yellow"/>
              </w:rPr>
            </w:pPr>
            <w:r>
              <w:rPr>
                <w:rFonts w:hint="eastAsia" w:ascii="宋体" w:hAnsi="宋体" w:eastAsia="宋体" w:cs="宋体"/>
                <w:color w:val="auto"/>
                <w:sz w:val="18"/>
                <w:szCs w:val="18"/>
                <w:lang w:val="en-US" w:eastAsia="zh-CN"/>
              </w:rPr>
              <w:t>主要技术参数</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default"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lang w:val="en-US" w:eastAsia="zh-CN"/>
              </w:rPr>
              <w:t>40</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依据采购内容及要求中的技术参数要求进行响应，投标人所提供的产品技术参数符合或优于招标文件技术参数要求得 20 分。</w:t>
            </w:r>
          </w:p>
          <w:p>
            <w:pPr>
              <w:spacing w:line="36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 xml:space="preserve">对关键性参数指标不满足或者不响应一条或一项扣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分。非关键性参数指标</w:t>
            </w:r>
            <w:r>
              <w:rPr>
                <w:rFonts w:hint="eastAsia" w:ascii="宋体" w:hAnsi="宋体" w:eastAsia="宋体" w:cs="宋体"/>
                <w:color w:val="auto"/>
                <w:sz w:val="18"/>
                <w:szCs w:val="18"/>
                <w:lang w:val="en-US" w:eastAsia="zh-CN"/>
              </w:rPr>
              <w:t>不满足或不响应</w:t>
            </w:r>
            <w:r>
              <w:rPr>
                <w:rFonts w:hint="eastAsia" w:ascii="宋体" w:hAnsi="宋体" w:eastAsia="宋体" w:cs="宋体"/>
                <w:color w:val="auto"/>
                <w:sz w:val="18"/>
                <w:szCs w:val="18"/>
              </w:rPr>
              <w:t>一条或一项扣</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分，直至扣完为止。</w:t>
            </w:r>
          </w:p>
          <w:p>
            <w:pPr>
              <w:spacing w:line="36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“★”参数指标按照要求提供对应证明材料。</w:t>
            </w:r>
          </w:p>
          <w:p>
            <w:pPr>
              <w:spacing w:line="360" w:lineRule="exact"/>
              <w:jc w:val="left"/>
              <w:rPr>
                <w:rFonts w:hint="eastAsia" w:ascii="微软雅黑" w:hAnsi="微软雅黑" w:eastAsia="微软雅黑" w:cs="微软雅黑"/>
                <w:b w:val="0"/>
                <w:bCs/>
                <w:color w:val="auto"/>
                <w:spacing w:val="-6"/>
                <w:sz w:val="21"/>
                <w:szCs w:val="21"/>
              </w:rPr>
            </w:pPr>
            <w:r>
              <w:rPr>
                <w:rFonts w:hint="eastAsia" w:ascii="宋体" w:hAnsi="宋体" w:eastAsia="宋体" w:cs="宋体"/>
                <w:color w:val="auto"/>
                <w:sz w:val="18"/>
                <w:szCs w:val="18"/>
              </w:rPr>
              <w:t>非关键性参数指标须提供所投产品彩页或</w:t>
            </w:r>
            <w:r>
              <w:rPr>
                <w:rFonts w:hint="eastAsia" w:ascii="宋体" w:hAnsi="宋体" w:eastAsia="宋体" w:cs="宋体"/>
                <w:color w:val="auto"/>
                <w:sz w:val="18"/>
                <w:szCs w:val="18"/>
                <w:lang w:val="en-US" w:eastAsia="zh-CN"/>
              </w:rPr>
              <w:t>公安部授权的检测机构出具的检验报告</w:t>
            </w:r>
            <w:r>
              <w:rPr>
                <w:rFonts w:hint="eastAsia" w:ascii="宋体" w:hAnsi="宋体" w:eastAsia="宋体" w:cs="宋体"/>
                <w:color w:val="auto"/>
                <w:sz w:val="18"/>
                <w:szCs w:val="18"/>
              </w:rPr>
              <w:t>等详细技术资料的扫描件作为证明材料，否则视为</w:t>
            </w:r>
            <w:r>
              <w:rPr>
                <w:rFonts w:hint="eastAsia" w:ascii="宋体" w:hAnsi="宋体" w:eastAsia="宋体" w:cs="宋体"/>
                <w:color w:val="auto"/>
                <w:sz w:val="18"/>
                <w:szCs w:val="18"/>
                <w:lang w:val="en-US" w:eastAsia="zh-CN"/>
              </w:rPr>
              <w:t>不满足或不响应</w:t>
            </w:r>
            <w:r>
              <w:rPr>
                <w:rFonts w:hint="eastAsia" w:ascii="宋体" w:hAnsi="宋体" w:eastAsia="宋体" w:cs="宋体"/>
                <w:color w:val="auto"/>
                <w:sz w:val="18"/>
                <w:szCs w:val="18"/>
              </w:rPr>
              <w:t>。</w:t>
            </w:r>
          </w:p>
        </w:tc>
      </w:tr>
      <w:tr>
        <w:tblPrEx>
          <w:tblCellMar>
            <w:top w:w="0" w:type="dxa"/>
            <w:left w:w="108" w:type="dxa"/>
            <w:bottom w:w="0" w:type="dxa"/>
            <w:right w:w="108" w:type="dxa"/>
          </w:tblCellMar>
        </w:tblPrEx>
        <w:trPr>
          <w:trHeight w:val="663" w:hRule="atLeast"/>
          <w:jc w:val="center"/>
        </w:trPr>
        <w:tc>
          <w:tcPr>
            <w:tcW w:w="235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价格评审</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lang w:val="en-US" w:eastAsia="zh-CN"/>
              </w:rPr>
              <w:t>30</w:t>
            </w:r>
          </w:p>
        </w:tc>
        <w:tc>
          <w:tcPr>
            <w:tcW w:w="60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满足采购文件要求且报价最低的投标报价为评标基准价，其价格分为满分。供应商的价格分统一按照下列公式计算：</w:t>
            </w:r>
          </w:p>
          <w:p>
            <w:pPr>
              <w:widowControl/>
              <w:spacing w:line="360" w:lineRule="exact"/>
              <w:jc w:val="left"/>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投标报价得分＝（评标基准价/投标报价）×价格分值</w:t>
            </w:r>
          </w:p>
        </w:tc>
      </w:tr>
      <w:tr>
        <w:tblPrEx>
          <w:tblCellMar>
            <w:top w:w="0" w:type="dxa"/>
            <w:left w:w="108" w:type="dxa"/>
            <w:bottom w:w="0" w:type="dxa"/>
            <w:right w:w="108" w:type="dxa"/>
          </w:tblCellMar>
        </w:tblPrEx>
        <w:trPr>
          <w:trHeight w:val="663" w:hRule="atLeast"/>
          <w:jc w:val="center"/>
        </w:trPr>
        <w:tc>
          <w:tcPr>
            <w:tcW w:w="915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总分（100分）</w:t>
            </w:r>
          </w:p>
        </w:tc>
      </w:tr>
    </w:tbl>
    <w:p>
      <w:pPr>
        <w:rPr>
          <w:rFonts w:hint="default"/>
          <w:color w:val="auto"/>
          <w:lang w:val="en-US" w:eastAsia="zh-CN"/>
        </w:rPr>
      </w:pPr>
      <w:r>
        <w:rPr>
          <w:rFonts w:hint="default"/>
          <w:color w:val="auto"/>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计算方式及定标办法</w:t>
      </w:r>
    </w:p>
    <w:tbl>
      <w:tblPr>
        <w:tblStyle w:val="9"/>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FE"/>
            </w:r>
            <w:r>
              <w:rPr>
                <w:rFonts w:hint="eastAsia" w:ascii="微软雅黑" w:hAnsi="微软雅黑" w:eastAsia="微软雅黑" w:cs="微软雅黑"/>
                <w:color w:val="auto"/>
                <w:kern w:val="0"/>
                <w:sz w:val="21"/>
                <w:szCs w:val="21"/>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p>
        </w:tc>
      </w:tr>
    </w:tbl>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auto"/>
          <w:sz w:val="21"/>
          <w:szCs w:val="21"/>
          <w:lang w:val="en-US" w:eastAsia="zh-CN"/>
        </w:rPr>
        <w:t>本次采购为竞争性磋商。供应商与会代表持有效身份证件按采购文件规定的时间递</w:t>
      </w:r>
      <w:r>
        <w:rPr>
          <w:rFonts w:hint="eastAsia" w:ascii="微软雅黑" w:hAnsi="微软雅黑" w:eastAsia="微软雅黑" w:cs="微软雅黑"/>
          <w:sz w:val="21"/>
          <w:szCs w:val="21"/>
          <w:lang w:val="en-US" w:eastAsia="zh-CN"/>
        </w:rPr>
        <w:t>交响应文件，并参加本项目采购活动。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合同签署</w:t>
      </w:r>
    </w:p>
    <w:p>
      <w:pPr>
        <w:widowControl/>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响应文件格式</w:t>
      </w:r>
    </w:p>
    <w:p>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sz w:val="28"/>
          <w:szCs w:val="28"/>
        </w:rPr>
      </w:pPr>
    </w:p>
    <w:p>
      <w:pPr>
        <w:pStyle w:val="13"/>
        <w:rPr>
          <w:rFonts w:ascii="仿宋" w:hAnsi="仿宋" w:eastAsia="仿宋" w:cs="微软雅黑"/>
          <w:sz w:val="28"/>
          <w:szCs w:val="28"/>
        </w:rPr>
      </w:pPr>
    </w:p>
    <w:p>
      <w:pPr>
        <w:pStyle w:val="13"/>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pPr>
        <w:pStyle w:val="13"/>
        <w:rPr>
          <w:rFonts w:ascii="微软雅黑" w:hAnsi="微软雅黑" w:eastAsia="微软雅黑" w:cs="微软雅黑"/>
          <w:sz w:val="28"/>
          <w:szCs w:val="28"/>
        </w:rPr>
      </w:pPr>
    </w:p>
    <w:p>
      <w:pPr>
        <w:tabs>
          <w:tab w:val="left" w:pos="0"/>
        </w:tabs>
        <w:rPr>
          <w:rFonts w:ascii="仿宋" w:hAnsi="仿宋" w:eastAsia="仿宋" w:cs="微软雅黑"/>
          <w:b/>
          <w:sz w:val="30"/>
          <w:szCs w:val="30"/>
        </w:rPr>
      </w:pPr>
    </w:p>
    <w:p>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pPr>
        <w:pStyle w:val="13"/>
        <w:rPr>
          <w:rFonts w:ascii="仿宋" w:hAnsi="仿宋" w:eastAsia="仿宋" w:cs="微软雅黑"/>
          <w:b/>
          <w:sz w:val="30"/>
          <w:szCs w:val="30"/>
        </w:rPr>
      </w:pPr>
      <w:r>
        <w:rPr>
          <w:rFonts w:hint="eastAsia" w:ascii="仿宋" w:hAnsi="仿宋" w:eastAsia="仿宋" w:cs="微软雅黑"/>
          <w:b/>
          <w:sz w:val="30"/>
          <w:szCs w:val="30"/>
        </w:rPr>
        <w:t>项目名称：</w:t>
      </w:r>
    </w:p>
    <w:p>
      <w:pPr>
        <w:pStyle w:val="13"/>
        <w:rPr>
          <w:rFonts w:ascii="仿宋" w:hAnsi="仿宋" w:eastAsia="仿宋" w:cs="微软雅黑"/>
          <w:b/>
          <w:sz w:val="30"/>
          <w:szCs w:val="30"/>
        </w:rPr>
      </w:pPr>
    </w:p>
    <w:p>
      <w:pPr>
        <w:pStyle w:val="13"/>
        <w:rPr>
          <w:rFonts w:ascii="仿宋" w:hAnsi="仿宋" w:eastAsia="仿宋" w:cs="微软雅黑"/>
          <w:b/>
          <w:sz w:val="30"/>
          <w:szCs w:val="30"/>
        </w:rPr>
      </w:pPr>
    </w:p>
    <w:p>
      <w:pPr>
        <w:pStyle w:val="13"/>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pPr>
        <w:pStyle w:val="13"/>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pPr>
        <w:pStyle w:val="13"/>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pPr>
        <w:rPr>
          <w:rFonts w:hint="eastAsia"/>
          <w:lang w:val="en-US" w:eastAsia="zh-CN"/>
        </w:rPr>
      </w:pPr>
      <w:r>
        <w:rPr>
          <w:rFonts w:hint="eastAsia"/>
          <w:lang w:val="en-US" w:eastAsia="zh-CN"/>
        </w:rPr>
        <w:br w:type="page"/>
      </w:r>
    </w:p>
    <w:p>
      <w:pPr>
        <w:rPr>
          <w:rFonts w:ascii="仿宋" w:hAnsi="仿宋" w:eastAsia="仿宋"/>
          <w:b/>
          <w:sz w:val="28"/>
          <w:szCs w:val="28"/>
        </w:rPr>
      </w:pPr>
      <w:r>
        <w:rPr>
          <w:rFonts w:hint="eastAsia" w:ascii="仿宋" w:hAnsi="仿宋" w:eastAsia="仿宋"/>
          <w:b/>
          <w:sz w:val="28"/>
          <w:szCs w:val="28"/>
        </w:rPr>
        <w:t>响应文件目录（编列要求）</w:t>
      </w:r>
    </w:p>
    <w:p>
      <w:pPr>
        <w:pStyle w:val="13"/>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p>
    <w:tbl>
      <w:tblPr>
        <w:tblStyle w:val="10"/>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供应商认为需要提交的其他文件</w:t>
            </w:r>
          </w:p>
        </w:tc>
      </w:tr>
    </w:tbl>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360" w:lineRule="exact"/>
        <w:outlineLvl w:val="1"/>
        <w:rPr>
          <w:rFonts w:ascii="仿宋" w:hAnsi="仿宋" w:eastAsia="仿宋" w:cs="微软雅黑"/>
          <w:b/>
          <w:sz w:val="28"/>
          <w:szCs w:val="28"/>
        </w:rPr>
      </w:pPr>
      <w:bookmarkStart w:id="2" w:name="_Toc24244"/>
      <w:bookmarkStart w:id="3" w:name="_Toc3454"/>
      <w:r>
        <w:rPr>
          <w:rFonts w:hint="eastAsia" w:ascii="仿宋" w:hAnsi="仿宋" w:eastAsia="仿宋" w:cs="微软雅黑"/>
          <w:b/>
          <w:sz w:val="28"/>
          <w:szCs w:val="28"/>
        </w:rPr>
        <w:t xml:space="preserve">格式1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2"/>
      <w:bookmarkEnd w:id="3"/>
    </w:p>
    <w:p>
      <w:pPr>
        <w:pStyle w:val="8"/>
        <w:spacing w:line="360" w:lineRule="exact"/>
        <w:rPr>
          <w:rFonts w:ascii="微软雅黑" w:hAnsi="微软雅黑" w:eastAsia="微软雅黑" w:cs="微软雅黑"/>
          <w:b/>
        </w:rPr>
      </w:pPr>
    </w:p>
    <w:p>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w:t>
      </w:r>
      <w:r>
        <w:rPr>
          <w:rFonts w:hint="eastAsia" w:ascii="仿宋" w:hAnsi="仿宋" w:eastAsia="仿宋" w:cs="微软雅黑"/>
          <w:b/>
          <w:bCs/>
          <w:sz w:val="28"/>
          <w:szCs w:val="28"/>
          <w:u w:val="single"/>
          <w:lang w:val="en-US" w:eastAsia="zh-CN"/>
        </w:rPr>
        <w:t>中心</w:t>
      </w:r>
      <w:r>
        <w:rPr>
          <w:rFonts w:hint="eastAsia" w:ascii="仿宋" w:hAnsi="仿宋" w:eastAsia="仿宋" w:cs="微软雅黑"/>
          <w:b/>
          <w:bCs/>
          <w:sz w:val="28"/>
          <w:szCs w:val="28"/>
          <w:u w:val="single"/>
        </w:rPr>
        <w:t>医院：</w:t>
      </w:r>
    </w:p>
    <w:p>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pPr>
        <w:numPr>
          <w:ilvl w:val="0"/>
          <w:numId w:val="4"/>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pPr>
        <w:numPr>
          <w:ilvl w:val="0"/>
          <w:numId w:val="4"/>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pPr>
        <w:numPr>
          <w:ilvl w:val="0"/>
          <w:numId w:val="4"/>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kern w:val="0"/>
          <w:sz w:val="28"/>
          <w:szCs w:val="28"/>
        </w:rPr>
      </w:pP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4" w:name="_Toc18591"/>
    </w:p>
    <w:p>
      <w:pPr>
        <w:spacing w:line="360" w:lineRule="exact"/>
        <w:outlineLvl w:val="1"/>
        <w:rPr>
          <w:rFonts w:ascii="仿宋" w:hAnsi="仿宋" w:eastAsia="仿宋" w:cs="微软雅黑"/>
          <w:b/>
          <w:sz w:val="28"/>
          <w:szCs w:val="28"/>
        </w:rPr>
      </w:pPr>
      <w:bookmarkStart w:id="5" w:name="_Toc30139"/>
    </w:p>
    <w:p>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4"/>
      <w:bookmarkEnd w:id="5"/>
    </w:p>
    <w:p>
      <w:pPr>
        <w:spacing w:line="360" w:lineRule="exact"/>
        <w:rPr>
          <w:rFonts w:ascii="微软雅黑" w:hAnsi="微软雅黑" w:eastAsia="微软雅黑" w:cs="微软雅黑"/>
          <w:kern w:val="0"/>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kern w:val="0"/>
              </w:rPr>
            </w:pPr>
          </w:p>
          <w:p>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pPr>
        <w:rPr>
          <w:rFonts w:ascii="仿宋" w:hAnsi="仿宋" w:eastAsia="仿宋" w:cs="微软雅黑"/>
          <w:b/>
          <w:sz w:val="28"/>
          <w:szCs w:val="28"/>
        </w:rPr>
      </w:pPr>
      <w:bookmarkStart w:id="6" w:name="_Toc424832832"/>
      <w:bookmarkStart w:id="7" w:name="_Toc360120184"/>
      <w:bookmarkStart w:id="8" w:name="_Toc432149008"/>
      <w:bookmarkStart w:id="9" w:name="_Toc3488"/>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10" w:name="_Toc29963"/>
      <w:r>
        <w:rPr>
          <w:rFonts w:hint="eastAsia" w:ascii="仿宋" w:hAnsi="仿宋" w:eastAsia="仿宋" w:cs="微软雅黑"/>
          <w:b/>
          <w:sz w:val="28"/>
          <w:szCs w:val="28"/>
        </w:rPr>
        <w:t>格式3</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6"/>
      <w:bookmarkEnd w:id="7"/>
      <w:bookmarkEnd w:id="8"/>
      <w:bookmarkEnd w:id="9"/>
      <w:bookmarkEnd w:id="10"/>
    </w:p>
    <w:p>
      <w:pPr>
        <w:spacing w:line="360" w:lineRule="exact"/>
        <w:rPr>
          <w:rFonts w:ascii="微软雅黑" w:hAnsi="微软雅黑" w:eastAsia="微软雅黑" w:cs="微软雅黑"/>
          <w:kern w:val="0"/>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pPr>
        <w:spacing w:line="560" w:lineRule="exact"/>
        <w:ind w:firstLine="840" w:firstLineChars="300"/>
        <w:jc w:val="left"/>
        <w:rPr>
          <w:rFonts w:ascii="仿宋" w:hAnsi="仿宋" w:eastAsia="仿宋" w:cs="微软雅黑"/>
          <w:kern w:val="0"/>
          <w:sz w:val="28"/>
          <w:szCs w:val="28"/>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kern w:val="0"/>
              </w:rPr>
            </w:pPr>
          </w:p>
          <w:p>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pPr>
              <w:spacing w:line="360" w:lineRule="exact"/>
              <w:rPr>
                <w:rFonts w:ascii="微软雅黑" w:hAnsi="微软雅黑" w:eastAsia="微软雅黑" w:cs="微软雅黑"/>
                <w:kern w:val="0"/>
              </w:rPr>
            </w:pPr>
          </w:p>
        </w:tc>
      </w:tr>
    </w:tbl>
    <w:p>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pPr>
        <w:numPr>
          <w:ilvl w:val="1"/>
          <w:numId w:val="6"/>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pPr>
        <w:numPr>
          <w:ilvl w:val="1"/>
          <w:numId w:val="6"/>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11" w:name="_Toc22174"/>
    </w:p>
    <w:p>
      <w:pPr>
        <w:rPr>
          <w:rFonts w:ascii="仿宋" w:hAnsi="仿宋" w:eastAsia="仿宋" w:cs="微软雅黑"/>
          <w:b/>
          <w:sz w:val="24"/>
          <w:szCs w:val="24"/>
        </w:rPr>
      </w:pPr>
      <w:r>
        <w:rPr>
          <w:rFonts w:hint="eastAsia" w:ascii="仿宋" w:hAnsi="仿宋" w:eastAsia="仿宋" w:cs="微软雅黑"/>
          <w:b/>
          <w:sz w:val="24"/>
          <w:szCs w:val="24"/>
        </w:rPr>
        <w:br w:type="page"/>
      </w:r>
    </w:p>
    <w:p>
      <w:pPr>
        <w:spacing w:line="360" w:lineRule="exact"/>
        <w:outlineLvl w:val="1"/>
        <w:rPr>
          <w:rFonts w:ascii="仿宋" w:hAnsi="仿宋" w:eastAsia="仿宋" w:cs="微软雅黑"/>
          <w:b/>
          <w:sz w:val="28"/>
          <w:szCs w:val="28"/>
        </w:rPr>
      </w:pPr>
      <w:bookmarkStart w:id="12" w:name="_Toc24864"/>
      <w:r>
        <w:rPr>
          <w:rFonts w:hint="eastAsia" w:ascii="仿宋" w:hAnsi="仿宋" w:eastAsia="仿宋" w:cs="微软雅黑"/>
          <w:b/>
          <w:sz w:val="28"/>
          <w:szCs w:val="28"/>
        </w:rPr>
        <w:t>格式4</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pPr>
        <w:spacing w:line="360" w:lineRule="exact"/>
        <w:outlineLvl w:val="1"/>
        <w:rPr>
          <w:rFonts w:ascii="仿宋" w:hAnsi="仿宋" w:eastAsia="仿宋" w:cs="微软雅黑"/>
          <w:b/>
          <w:sz w:val="28"/>
          <w:szCs w:val="28"/>
        </w:rPr>
      </w:pPr>
    </w:p>
    <w:bookmarkEnd w:id="11"/>
    <w:bookmarkEnd w:id="12"/>
    <w:p>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9"/>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bl>
    <w:p>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pPr>
        <w:spacing w:line="560" w:lineRule="exact"/>
        <w:ind w:firstLine="700" w:firstLineChars="250"/>
        <w:rPr>
          <w:rFonts w:hint="eastAsia" w:ascii="仿宋" w:hAnsi="仿宋" w:eastAsia="仿宋" w:cs="微软雅黑"/>
          <w:sz w:val="28"/>
          <w:szCs w:val="28"/>
          <w:lang w:eastAsia="zh-CN"/>
        </w:rPr>
      </w:pPr>
      <w:r>
        <w:rPr>
          <w:rFonts w:hint="eastAsia" w:ascii="仿宋" w:hAnsi="仿宋" w:eastAsia="仿宋" w:cs="微软雅黑"/>
          <w:sz w:val="28"/>
          <w:szCs w:val="28"/>
        </w:rPr>
        <w:t>（2）此表</w:t>
      </w:r>
      <w:r>
        <w:rPr>
          <w:rFonts w:hint="eastAsia" w:ascii="仿宋" w:hAnsi="仿宋" w:eastAsia="仿宋" w:cs="微软雅黑"/>
          <w:sz w:val="28"/>
          <w:szCs w:val="28"/>
          <w:lang w:val="en-US" w:eastAsia="zh-CN"/>
        </w:rPr>
        <w:t>需</w:t>
      </w:r>
      <w:r>
        <w:rPr>
          <w:rFonts w:hint="eastAsia" w:ascii="仿宋" w:hAnsi="仿宋" w:eastAsia="仿宋" w:cs="微软雅黑"/>
          <w:sz w:val="28"/>
          <w:szCs w:val="28"/>
        </w:rPr>
        <w:t>保留在响应文件中</w:t>
      </w:r>
      <w:r>
        <w:rPr>
          <w:rFonts w:hint="eastAsia" w:ascii="仿宋" w:hAnsi="仿宋" w:eastAsia="仿宋" w:cs="微软雅黑"/>
          <w:sz w:val="28"/>
          <w:szCs w:val="28"/>
          <w:lang w:eastAsia="zh-CN"/>
        </w:rPr>
        <w:t>。</w:t>
      </w:r>
    </w:p>
    <w:p>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pPr>
        <w:spacing w:line="560" w:lineRule="exact"/>
        <w:rPr>
          <w:rFonts w:ascii="仿宋" w:hAnsi="仿宋" w:eastAsia="仿宋" w:cs="微软雅黑"/>
          <w:b/>
          <w:sz w:val="28"/>
          <w:szCs w:val="28"/>
        </w:rPr>
      </w:pPr>
      <w:bookmarkStart w:id="13" w:name="_Toc529"/>
      <w:r>
        <w:rPr>
          <w:rFonts w:hint="eastAsia" w:ascii="仿宋" w:hAnsi="仿宋" w:eastAsia="仿宋" w:cs="微软雅黑"/>
          <w:b/>
          <w:sz w:val="28"/>
          <w:szCs w:val="28"/>
        </w:rPr>
        <w:br w:type="page"/>
      </w:r>
    </w:p>
    <w:bookmarkEnd w:id="13"/>
    <w:p>
      <w:pPr>
        <w:pStyle w:val="4"/>
        <w:adjustRightInd w:val="0"/>
        <w:snapToGrid w:val="0"/>
        <w:spacing w:before="0" w:after="0" w:line="240" w:lineRule="auto"/>
        <w:jc w:val="left"/>
        <w:rPr>
          <w:rFonts w:ascii="仿宋_GB2312" w:hAnsi="仿宋_GB2312" w:eastAsia="仿宋_GB2312" w:cs="仿宋_GB2312"/>
          <w:szCs w:val="28"/>
        </w:rPr>
      </w:pPr>
      <w:bookmarkStart w:id="14" w:name="_Toc3160"/>
      <w:r>
        <w:rPr>
          <w:rFonts w:hint="eastAsia" w:ascii="仿宋_GB2312" w:hAnsi="仿宋_GB2312" w:eastAsia="仿宋_GB2312" w:cs="仿宋_GB2312"/>
          <w:szCs w:val="28"/>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28"/>
          <w:szCs w:val="28"/>
        </w:rPr>
      </w:pPr>
      <w:bookmarkStart w:id="15" w:name="_Toc16044_WPSOffice_Level2"/>
      <w:bookmarkStart w:id="16" w:name="_Toc28271_WPSOffice_Level2"/>
      <w:r>
        <w:rPr>
          <w:rFonts w:hint="eastAsia" w:ascii="仿宋_GB2312" w:hAnsi="仿宋_GB2312" w:eastAsia="仿宋_GB2312" w:cs="仿宋_GB2312"/>
          <w:b/>
          <w:bCs/>
          <w:sz w:val="28"/>
          <w:szCs w:val="28"/>
        </w:rPr>
        <w:t>分项报价表</w:t>
      </w:r>
      <w:bookmarkEnd w:id="15"/>
      <w:bookmarkEnd w:id="16"/>
    </w:p>
    <w:p>
      <w:pPr>
        <w:adjustRightInd w:val="0"/>
        <w:snapToGrid w:val="0"/>
        <w:spacing w:line="360" w:lineRule="auto"/>
        <w:ind w:right="105" w:rightChars="5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包号：                              报价单位</w:t>
      </w:r>
      <w:r>
        <w:rPr>
          <w:rFonts w:hint="eastAsia" w:ascii="仿宋_GB2312" w:hAnsi="仿宋_GB2312" w:eastAsia="仿宋_GB2312" w:cs="仿宋_GB2312"/>
          <w:b/>
          <w:bCs/>
          <w:color w:val="FF0000"/>
          <w:sz w:val="28"/>
          <w:szCs w:val="28"/>
        </w:rPr>
        <w:t>（元 / 万元 ）：</w:t>
      </w:r>
    </w:p>
    <w:tbl>
      <w:tblPr>
        <w:tblStyle w:val="9"/>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721" w:type="dxa"/>
            <w:vAlign w:val="center"/>
          </w:tcPr>
          <w:p>
            <w:pPr>
              <w:adjustRightInd w:val="0"/>
              <w:snapToGrid w:val="0"/>
              <w:ind w:right="105" w:rightChars="50"/>
              <w:jc w:val="center"/>
              <w:rPr>
                <w:rFonts w:ascii="仿宋_GB2312" w:hAnsi="仿宋_GB2312" w:eastAsia="仿宋_GB2312" w:cs="仿宋_GB2312"/>
                <w:sz w:val="28"/>
                <w:szCs w:val="28"/>
              </w:rPr>
            </w:pPr>
          </w:p>
        </w:tc>
        <w:tc>
          <w:tcPr>
            <w:tcW w:w="98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134" w:type="dxa"/>
            <w:vAlign w:val="center"/>
          </w:tcPr>
          <w:p>
            <w:pPr>
              <w:adjustRightInd w:val="0"/>
              <w:snapToGrid w:val="0"/>
              <w:ind w:right="105" w:rightChars="50"/>
              <w:jc w:val="center"/>
              <w:rPr>
                <w:rFonts w:ascii="仿宋_GB2312" w:hAnsi="仿宋_GB2312" w:eastAsia="仿宋_GB2312" w:cs="仿宋_GB2312"/>
                <w:sz w:val="28"/>
                <w:szCs w:val="28"/>
              </w:rPr>
            </w:pPr>
          </w:p>
        </w:tc>
        <w:tc>
          <w:tcPr>
            <w:tcW w:w="967" w:type="dxa"/>
            <w:vAlign w:val="center"/>
          </w:tcPr>
          <w:p>
            <w:pPr>
              <w:adjustRightInd w:val="0"/>
              <w:snapToGrid w:val="0"/>
              <w:ind w:right="105" w:rightChars="50"/>
              <w:jc w:val="center"/>
              <w:rPr>
                <w:rFonts w:ascii="仿宋_GB2312" w:hAnsi="仿宋_GB2312" w:eastAsia="仿宋_GB2312" w:cs="仿宋_GB2312"/>
                <w:sz w:val="28"/>
                <w:szCs w:val="28"/>
              </w:rPr>
            </w:pPr>
          </w:p>
        </w:tc>
      </w:tr>
    </w:tbl>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法定代表人（或非法人组织负责人）或其授权委托人(签字或盖章)：</w:t>
      </w:r>
      <w:r>
        <w:rPr>
          <w:rFonts w:hint="eastAsia" w:ascii="仿宋_GB2312" w:hAnsi="仿宋_GB2312" w:eastAsia="仿宋_GB2312" w:cs="仿宋_GB2312"/>
          <w:sz w:val="28"/>
          <w:szCs w:val="28"/>
          <w:u w:val="single"/>
        </w:rPr>
        <w:t xml:space="preserve">           </w:t>
      </w:r>
    </w:p>
    <w:p>
      <w:pPr>
        <w:adjustRightInd w:val="0"/>
        <w:snapToGrid w:val="0"/>
        <w:spacing w:line="48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格式6  资格证明文件</w:t>
      </w:r>
      <w:bookmarkEnd w:id="14"/>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7" w:name="_Toc11910"/>
      <w:r>
        <w:rPr>
          <w:rFonts w:hint="eastAsia" w:ascii="仿宋" w:hAnsi="仿宋" w:eastAsia="仿宋" w:cs="微软雅黑"/>
          <w:b/>
          <w:sz w:val="28"/>
          <w:szCs w:val="28"/>
        </w:rPr>
        <w:t>格式7需求响应文件</w:t>
      </w:r>
      <w:bookmarkEnd w:id="17"/>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8" w:name="_Toc11253"/>
      <w:r>
        <w:rPr>
          <w:rFonts w:hint="eastAsia" w:ascii="仿宋" w:hAnsi="仿宋" w:eastAsia="仿宋" w:cs="微软雅黑"/>
          <w:b/>
          <w:sz w:val="28"/>
          <w:szCs w:val="28"/>
        </w:rPr>
        <w:t>格式8评审办法响应文件</w:t>
      </w:r>
      <w:bookmarkEnd w:id="18"/>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pPr>
        <w:spacing w:line="560" w:lineRule="exact"/>
        <w:rPr>
          <w:rFonts w:ascii="仿宋" w:hAnsi="仿宋" w:eastAsia="仿宋" w:cs="微软雅黑"/>
          <w:b/>
          <w:sz w:val="28"/>
          <w:szCs w:val="28"/>
        </w:rPr>
      </w:pPr>
      <w:bookmarkStart w:id="19" w:name="_Toc476839034"/>
      <w:bookmarkStart w:id="20" w:name="_Toc7229"/>
      <w:bookmarkStart w:id="21" w:name="_Toc4730"/>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2" w:name="_Toc25904"/>
      <w:r>
        <w:rPr>
          <w:rFonts w:hint="eastAsia" w:ascii="仿宋" w:hAnsi="仿宋" w:eastAsia="仿宋" w:cs="微软雅黑"/>
          <w:b/>
          <w:sz w:val="28"/>
          <w:szCs w:val="28"/>
        </w:rPr>
        <w:t>格式9</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19"/>
      <w:bookmarkEnd w:id="20"/>
      <w:bookmarkEnd w:id="21"/>
      <w:bookmarkEnd w:id="22"/>
    </w:p>
    <w:p>
      <w:pPr>
        <w:spacing w:line="360" w:lineRule="exact"/>
        <w:rPr>
          <w:rFonts w:ascii="华文中宋" w:hAnsi="华文中宋" w:eastAsia="华文中宋" w:cs="微软雅黑"/>
          <w:kern w:val="0"/>
          <w:sz w:val="24"/>
        </w:rPr>
      </w:pPr>
    </w:p>
    <w:p>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w:t>
      </w:r>
      <w:r>
        <w:rPr>
          <w:rFonts w:hint="eastAsia" w:ascii="仿宋" w:hAnsi="仿宋" w:eastAsia="仿宋" w:cs="微软雅黑"/>
          <w:kern w:val="0"/>
          <w:sz w:val="28"/>
          <w:szCs w:val="28"/>
          <w:lang w:val="en-US" w:eastAsia="zh-CN"/>
        </w:rPr>
        <w:t>中心</w:t>
      </w:r>
      <w:r>
        <w:rPr>
          <w:rFonts w:hint="eastAsia" w:ascii="仿宋" w:hAnsi="仿宋" w:eastAsia="仿宋" w:cs="微软雅黑"/>
          <w:kern w:val="0"/>
          <w:sz w:val="28"/>
          <w:szCs w:val="28"/>
        </w:rPr>
        <w:t>医院：</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3" w:name="_Toc19613"/>
      <w:r>
        <w:rPr>
          <w:rFonts w:hint="eastAsia" w:ascii="仿宋" w:hAnsi="仿宋" w:eastAsia="仿宋" w:cs="微软雅黑"/>
          <w:b/>
          <w:sz w:val="28"/>
          <w:szCs w:val="28"/>
        </w:rPr>
        <w:t>格式10</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23"/>
    </w:p>
    <w:p>
      <w:pPr>
        <w:jc w:val="center"/>
        <w:rPr>
          <w:rFonts w:ascii="宋体" w:hAnsi="宋体"/>
          <w:b/>
          <w:sz w:val="28"/>
          <w:szCs w:val="28"/>
        </w:rPr>
      </w:pPr>
    </w:p>
    <w:p>
      <w:pPr>
        <w:pStyle w:val="14"/>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pPr>
        <w:pStyle w:val="14"/>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pPr>
        <w:pStyle w:val="14"/>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pPr>
        <w:pStyle w:val="14"/>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pPr>
        <w:pStyle w:val="14"/>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pPr>
        <w:tabs>
          <w:tab w:val="left" w:pos="854"/>
        </w:tabs>
        <w:spacing w:line="360" w:lineRule="auto"/>
        <w:rPr>
          <w:rFonts w:ascii="仿宋" w:hAnsi="仿宋" w:eastAsia="仿宋"/>
          <w:bCs/>
          <w:sz w:val="28"/>
          <w:szCs w:val="28"/>
        </w:rPr>
      </w:pPr>
    </w:p>
    <w:p>
      <w:pPr>
        <w:tabs>
          <w:tab w:val="left" w:pos="854"/>
        </w:tabs>
        <w:spacing w:line="360" w:lineRule="auto"/>
        <w:rPr>
          <w:rFonts w:ascii="仿宋" w:hAnsi="仿宋" w:eastAsia="仿宋"/>
          <w:bCs/>
          <w:sz w:val="28"/>
          <w:szCs w:val="28"/>
        </w:rPr>
      </w:pPr>
    </w:p>
    <w:p>
      <w:pPr>
        <w:pStyle w:val="13"/>
      </w:pPr>
    </w:p>
    <w:p>
      <w:pPr>
        <w:pStyle w:val="13"/>
      </w:pPr>
    </w:p>
    <w:p>
      <w:pPr>
        <w:pStyle w:val="14"/>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pPr>
        <w:spacing w:line="500" w:lineRule="exact"/>
        <w:ind w:firstLine="720"/>
        <w:rPr>
          <w:rFonts w:ascii="仿宋" w:hAnsi="仿宋" w:eastAsia="仿宋"/>
          <w:kern w:val="0"/>
          <w:sz w:val="28"/>
          <w:szCs w:val="28"/>
        </w:rPr>
      </w:pPr>
    </w:p>
    <w:p>
      <w:pPr>
        <w:pStyle w:val="14"/>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pPr>
        <w:pStyle w:val="14"/>
        <w:spacing w:before="0" w:after="0" w:line="240" w:lineRule="auto"/>
        <w:ind w:left="1070" w:hanging="1069" w:hangingChars="382"/>
        <w:jc w:val="left"/>
        <w:rPr>
          <w:rFonts w:ascii="仿宋" w:hAnsi="仿宋" w:eastAsia="仿宋"/>
          <w:kern w:val="0"/>
          <w:szCs w:val="28"/>
        </w:rPr>
      </w:pPr>
    </w:p>
    <w:p>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pPr>
        <w:tabs>
          <w:tab w:val="left" w:pos="540"/>
        </w:tabs>
        <w:autoSpaceDE w:val="0"/>
        <w:autoSpaceDN w:val="0"/>
        <w:adjustRightInd w:val="0"/>
        <w:spacing w:line="360" w:lineRule="exact"/>
        <w:rPr>
          <w:b/>
          <w:sz w:val="28"/>
          <w:szCs w:val="28"/>
        </w:rPr>
      </w:pPr>
    </w:p>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240" w:lineRule="auto"/>
        <w:jc w:val="center"/>
        <w:outlineLvl w:val="1"/>
        <w:rPr>
          <w:rFonts w:hint="eastAsia" w:ascii="华文中宋" w:hAnsi="华文中宋" w:eastAsia="华文中宋" w:cs="微软雅黑"/>
          <w:b/>
          <w:sz w:val="28"/>
          <w:szCs w:val="28"/>
        </w:rPr>
      </w:pPr>
      <w:r>
        <w:rPr>
          <w:rFonts w:hint="eastAsia" w:ascii="华文中宋" w:hAnsi="华文中宋" w:eastAsia="华文中宋" w:cs="微软雅黑"/>
          <w:b/>
          <w:sz w:val="28"/>
          <w:szCs w:val="28"/>
          <w:lang w:eastAsia="zh-CN"/>
        </w:rPr>
        <w:t>关于放弃参与襄阳市中心医院</w:t>
      </w:r>
      <w:r>
        <w:rPr>
          <w:rFonts w:hint="eastAsia" w:ascii="华文中宋" w:hAnsi="华文中宋" w:eastAsia="华文中宋" w:cs="微软雅黑"/>
          <w:b/>
          <w:sz w:val="28"/>
          <w:szCs w:val="28"/>
          <w:u w:val="single"/>
          <w:lang w:val="en-US" w:eastAsia="zh-CN"/>
        </w:rPr>
        <w:t xml:space="preserve">              </w:t>
      </w:r>
      <w:r>
        <w:rPr>
          <w:rFonts w:hint="eastAsia" w:ascii="华文中宋" w:hAnsi="华文中宋" w:eastAsia="华文中宋" w:cs="微软雅黑"/>
          <w:b/>
          <w:sz w:val="28"/>
          <w:szCs w:val="28"/>
          <w:lang w:val="en-US" w:eastAsia="zh-CN"/>
        </w:rPr>
        <w:t>项目采购的声明函</w:t>
      </w:r>
    </w:p>
    <w:p>
      <w:pPr>
        <w:topLinePunct/>
        <w:snapToGrid w:val="0"/>
        <w:spacing w:line="240" w:lineRule="auto"/>
        <w:rPr>
          <w:rFonts w:hint="eastAsia" w:ascii="仿宋" w:hAnsi="仿宋" w:eastAsia="仿宋" w:cs="仿宋"/>
          <w:b w:val="0"/>
          <w:bCs/>
          <w:color w:val="000000"/>
          <w:sz w:val="28"/>
          <w:szCs w:val="28"/>
        </w:rPr>
      </w:pP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委托单位</w:t>
      </w:r>
      <w:r>
        <w:rPr>
          <w:rFonts w:hint="eastAsia" w:ascii="仿宋" w:hAnsi="仿宋" w:eastAsia="仿宋" w:cs="仿宋"/>
          <w:b w:val="0"/>
          <w:bCs/>
          <w:sz w:val="28"/>
          <w:szCs w:val="28"/>
        </w:rPr>
        <w:t>（供应商）</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地    址：</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姓名</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身份证号</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托人姓名：</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托人身份证号：</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托人的联系方式（手机）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snapToGrid w:val="0"/>
        <w:spacing w:line="24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因</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val="en-US" w:eastAsia="zh-CN"/>
        </w:rPr>
        <w:t>原因， 我公司决定不再参与贵院</w:t>
      </w:r>
      <w:r>
        <w:rPr>
          <w:rFonts w:hint="eastAsia" w:ascii="仿宋" w:hAnsi="仿宋" w:eastAsia="仿宋" w:cs="仿宋"/>
          <w:b w:val="0"/>
          <w:bCs/>
          <w:sz w:val="28"/>
          <w:szCs w:val="28"/>
        </w:rPr>
        <w:t>组织的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项目（项目编号为：</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color w:val="800080"/>
          <w:sz w:val="28"/>
          <w:szCs w:val="28"/>
          <w:u w:val="single"/>
          <w:lang w:val="en-US" w:eastAsia="zh-CN"/>
        </w:rPr>
        <w:t xml:space="preserve">   </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兹委托</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代表我</w:t>
      </w:r>
      <w:r>
        <w:rPr>
          <w:rFonts w:hint="eastAsia" w:ascii="仿宋" w:hAnsi="仿宋" w:eastAsia="仿宋" w:cs="仿宋"/>
          <w:b w:val="0"/>
          <w:bCs/>
          <w:sz w:val="28"/>
          <w:szCs w:val="28"/>
          <w:lang w:eastAsia="zh-CN"/>
        </w:rPr>
        <w:t>公司递交声明函，请予以受理。</w:t>
      </w:r>
    </w:p>
    <w:p>
      <w:pPr>
        <w:snapToGrid w:val="0"/>
        <w:spacing w:line="240" w:lineRule="auto"/>
        <w:ind w:firstLine="1120" w:firstLineChars="400"/>
        <w:rPr>
          <w:rFonts w:hint="eastAsia" w:ascii="仿宋" w:hAnsi="仿宋" w:eastAsia="仿宋" w:cs="仿宋"/>
          <w:b w:val="0"/>
          <w:bCs/>
          <w:color w:val="0000FF"/>
          <w:sz w:val="28"/>
          <w:szCs w:val="28"/>
        </w:rPr>
      </w:pPr>
      <w:r>
        <w:rPr>
          <w:rFonts w:hint="eastAsia" w:ascii="仿宋" w:hAnsi="仿宋" w:eastAsia="仿宋" w:cs="仿宋"/>
          <w:b w:val="0"/>
          <w:bCs/>
          <w:sz w:val="28"/>
          <w:szCs w:val="28"/>
        </w:rPr>
        <w:t>附：1、单位法定代表人身份证复印件</w:t>
      </w:r>
      <w:r>
        <w:rPr>
          <w:rFonts w:hint="eastAsia" w:ascii="仿宋" w:hAnsi="仿宋" w:eastAsia="仿宋" w:cs="仿宋"/>
          <w:b w:val="0"/>
          <w:bCs/>
          <w:color w:val="0000FF"/>
          <w:sz w:val="28"/>
          <w:szCs w:val="28"/>
        </w:rPr>
        <w:t>（复印正、反两面）</w:t>
      </w:r>
    </w:p>
    <w:p>
      <w:pPr>
        <w:snapToGrid w:val="0"/>
        <w:spacing w:line="240" w:lineRule="auto"/>
        <w:ind w:firstLine="1120" w:firstLineChars="400"/>
        <w:rPr>
          <w:rFonts w:hint="eastAsia" w:ascii="仿宋" w:hAnsi="仿宋" w:eastAsia="仿宋" w:cs="仿宋"/>
          <w:b w:val="0"/>
          <w:bCs/>
          <w:color w:val="0000FF"/>
          <w:sz w:val="28"/>
          <w:szCs w:val="28"/>
        </w:rPr>
      </w:pPr>
    </w:p>
    <w:p>
      <w:pPr>
        <w:pStyle w:val="12"/>
        <w:spacing w:line="240" w:lineRule="auto"/>
        <w:rPr>
          <w:rFonts w:hint="eastAsia" w:ascii="仿宋" w:hAnsi="仿宋" w:eastAsia="仿宋" w:cs="仿宋"/>
          <w:b w:val="0"/>
          <w:bCs/>
          <w:sz w:val="28"/>
          <w:szCs w:val="28"/>
        </w:rPr>
      </w:pPr>
    </w:p>
    <w:p>
      <w:pPr>
        <w:snapToGrid w:val="0"/>
        <w:spacing w:line="240" w:lineRule="auto"/>
        <w:ind w:firstLine="1120" w:firstLineChars="400"/>
        <w:rPr>
          <w:rFonts w:hint="eastAsia" w:ascii="仿宋" w:hAnsi="仿宋" w:eastAsia="仿宋" w:cs="仿宋"/>
          <w:b w:val="0"/>
          <w:bCs/>
          <w:color w:val="0000FF"/>
          <w:sz w:val="28"/>
          <w:szCs w:val="28"/>
        </w:rPr>
      </w:pPr>
    </w:p>
    <w:p>
      <w:pPr>
        <w:snapToGrid w:val="0"/>
        <w:spacing w:line="240" w:lineRule="auto"/>
        <w:ind w:firstLine="1120" w:firstLineChars="400"/>
        <w:rPr>
          <w:rFonts w:hint="eastAsia" w:ascii="仿宋" w:hAnsi="仿宋" w:eastAsia="仿宋" w:cs="仿宋"/>
          <w:b w:val="0"/>
          <w:bCs/>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r>
        <w:rPr>
          <w:rFonts w:hint="eastAsia" w:ascii="仿宋" w:hAnsi="仿宋" w:eastAsia="仿宋" w:cs="仿宋"/>
          <w:b w:val="0"/>
          <w:bCs/>
          <w:sz w:val="28"/>
          <w:szCs w:val="28"/>
        </w:rPr>
        <w:t>2、授权委托人身份证复印件</w:t>
      </w:r>
      <w:r>
        <w:rPr>
          <w:rFonts w:hint="eastAsia" w:ascii="仿宋" w:hAnsi="仿宋" w:eastAsia="仿宋" w:cs="仿宋"/>
          <w:b w:val="0"/>
          <w:bCs/>
          <w:color w:val="0000FF"/>
          <w:sz w:val="28"/>
          <w:szCs w:val="28"/>
        </w:rPr>
        <w:t>（复印正、反两面）</w:t>
      </w: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pStyle w:val="12"/>
        <w:spacing w:line="240" w:lineRule="auto"/>
        <w:rPr>
          <w:rFonts w:hint="eastAsia" w:ascii="仿宋" w:hAnsi="仿宋" w:eastAsia="仿宋" w:cs="仿宋"/>
          <w:b w:val="0"/>
          <w:bCs/>
          <w:sz w:val="28"/>
          <w:szCs w:val="28"/>
        </w:rPr>
      </w:pP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snapToGrid w:val="0"/>
        <w:spacing w:line="240" w:lineRule="auto"/>
        <w:rPr>
          <w:rFonts w:hint="eastAsia" w:ascii="仿宋" w:hAnsi="仿宋" w:eastAsia="仿宋" w:cs="仿宋"/>
          <w:b w:val="0"/>
          <w:bCs/>
          <w:sz w:val="28"/>
          <w:szCs w:val="28"/>
        </w:rPr>
      </w:pP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委托单位（供应商）： （公章）</w:t>
      </w:r>
    </w:p>
    <w:p>
      <w:pPr>
        <w:snapToGrid w:val="0"/>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法定代表人（签字或个人印章）：</w:t>
      </w: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w:t>
      </w:r>
      <w:r>
        <w:rPr>
          <w:rFonts w:hint="eastAsia" w:ascii="仿宋" w:hAnsi="仿宋" w:eastAsia="仿宋" w:cs="仿宋"/>
          <w:b w:val="0"/>
          <w:bCs/>
          <w:sz w:val="28"/>
          <w:szCs w:val="28"/>
        </w:rPr>
        <w:t>签字）：</w:t>
      </w:r>
    </w:p>
    <w:p>
      <w:pPr>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日期：</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年</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月</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日</w:t>
      </w:r>
    </w:p>
    <w:p>
      <w:pPr>
        <w:pStyle w:val="13"/>
        <w:rPr>
          <w:rFonts w:hint="default" w:ascii="仿宋" w:hAnsi="仿宋" w:eastAsia="仿宋" w:cs="微软雅黑"/>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9A5A6"/>
    <w:multiLevelType w:val="singleLevel"/>
    <w:tmpl w:val="F689A5A6"/>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3">
    <w:nsid w:val="1D0CA0C5"/>
    <w:multiLevelType w:val="singleLevel"/>
    <w:tmpl w:val="1D0CA0C5"/>
    <w:lvl w:ilvl="0" w:tentative="0">
      <w:start w:val="1"/>
      <w:numFmt w:val="decimal"/>
      <w:lvlText w:val="%1."/>
      <w:lvlJc w:val="left"/>
      <w:pPr>
        <w:ind w:left="425" w:hanging="425"/>
      </w:pPr>
      <w:rPr>
        <w:rFonts w:hint="default"/>
      </w:rPr>
    </w:lvl>
  </w:abstractNum>
  <w:abstractNum w:abstractNumId="4">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18"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0DA7802"/>
    <w:rsid w:val="01AD22E7"/>
    <w:rsid w:val="025739FF"/>
    <w:rsid w:val="02876A43"/>
    <w:rsid w:val="03B50748"/>
    <w:rsid w:val="047563BF"/>
    <w:rsid w:val="07415229"/>
    <w:rsid w:val="07EB13A4"/>
    <w:rsid w:val="082A5712"/>
    <w:rsid w:val="0D03372D"/>
    <w:rsid w:val="0DF2282E"/>
    <w:rsid w:val="10140D6B"/>
    <w:rsid w:val="10B169D0"/>
    <w:rsid w:val="130152C1"/>
    <w:rsid w:val="17B86DD4"/>
    <w:rsid w:val="18B708FC"/>
    <w:rsid w:val="19D43730"/>
    <w:rsid w:val="1D1030AC"/>
    <w:rsid w:val="221E19EC"/>
    <w:rsid w:val="23432D40"/>
    <w:rsid w:val="256C7635"/>
    <w:rsid w:val="257C6BEF"/>
    <w:rsid w:val="26543C2E"/>
    <w:rsid w:val="274556FA"/>
    <w:rsid w:val="2AFB1A46"/>
    <w:rsid w:val="2C140AD4"/>
    <w:rsid w:val="2C3D0C5D"/>
    <w:rsid w:val="2CD258AD"/>
    <w:rsid w:val="2E020414"/>
    <w:rsid w:val="2EC76001"/>
    <w:rsid w:val="305A62E5"/>
    <w:rsid w:val="32F02764"/>
    <w:rsid w:val="334B0167"/>
    <w:rsid w:val="362E718F"/>
    <w:rsid w:val="364C4922"/>
    <w:rsid w:val="38D92593"/>
    <w:rsid w:val="3A3A2866"/>
    <w:rsid w:val="3A4777B0"/>
    <w:rsid w:val="3C5E715D"/>
    <w:rsid w:val="3CB90A0D"/>
    <w:rsid w:val="3DCC3519"/>
    <w:rsid w:val="419B6A3A"/>
    <w:rsid w:val="41C743E5"/>
    <w:rsid w:val="42520F10"/>
    <w:rsid w:val="42E1448F"/>
    <w:rsid w:val="4AF013C9"/>
    <w:rsid w:val="4AF57E8F"/>
    <w:rsid w:val="4D376A08"/>
    <w:rsid w:val="50D21A70"/>
    <w:rsid w:val="5153495F"/>
    <w:rsid w:val="52325D6E"/>
    <w:rsid w:val="52750905"/>
    <w:rsid w:val="52B646DC"/>
    <w:rsid w:val="52C560E6"/>
    <w:rsid w:val="55F12998"/>
    <w:rsid w:val="57C2639A"/>
    <w:rsid w:val="597015C7"/>
    <w:rsid w:val="5A7773C6"/>
    <w:rsid w:val="5B816101"/>
    <w:rsid w:val="5D706898"/>
    <w:rsid w:val="614F743B"/>
    <w:rsid w:val="623B5B62"/>
    <w:rsid w:val="6288536B"/>
    <w:rsid w:val="63066872"/>
    <w:rsid w:val="63584057"/>
    <w:rsid w:val="64FE58CD"/>
    <w:rsid w:val="652F38F2"/>
    <w:rsid w:val="66AB742B"/>
    <w:rsid w:val="68743B4D"/>
    <w:rsid w:val="6A2A45E1"/>
    <w:rsid w:val="6BDE45F3"/>
    <w:rsid w:val="6E4C4DE6"/>
    <w:rsid w:val="6E6E472E"/>
    <w:rsid w:val="6EB63F89"/>
    <w:rsid w:val="6EFC20F8"/>
    <w:rsid w:val="70FA04FB"/>
    <w:rsid w:val="715B78C5"/>
    <w:rsid w:val="729149D6"/>
    <w:rsid w:val="752710C6"/>
    <w:rsid w:val="756379B6"/>
    <w:rsid w:val="7749547D"/>
    <w:rsid w:val="78AD046C"/>
    <w:rsid w:val="78C552D3"/>
    <w:rsid w:val="790C526F"/>
    <w:rsid w:val="7A946DA5"/>
    <w:rsid w:val="7E5F05A5"/>
    <w:rsid w:val="7FE73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kern w:val="0"/>
      <w:sz w:val="26"/>
      <w:szCs w:val="26"/>
    </w:r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rFonts w:ascii="Tahoma" w:hAnsi="Tahoma"/>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8">
    <w:name w:val="toc 1"/>
    <w:basedOn w:val="1"/>
    <w:next w:val="1"/>
    <w:qFormat/>
    <w:uiPriority w:val="39"/>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styleId="15">
    <w:name w:val="List Paragraph"/>
    <w:basedOn w:val="1"/>
    <w:qFormat/>
    <w:uiPriority w:val="34"/>
    <w:pPr>
      <w:spacing w:line="360" w:lineRule="auto"/>
      <w:ind w:firstLine="420" w:firstLineChars="200"/>
    </w:pPr>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7268</Words>
  <Characters>7516</Characters>
  <Lines>0</Lines>
  <Paragraphs>0</Paragraphs>
  <TotalTime>29</TotalTime>
  <ScaleCrop>false</ScaleCrop>
  <LinksUpToDate>false</LinksUpToDate>
  <CharactersWithSpaces>8257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李燃</cp:lastModifiedBy>
  <dcterms:modified xsi:type="dcterms:W3CDTF">2023-12-12T08:12:03Z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4537837F2C9943A3872776DA54462397_13</vt:lpwstr>
  </property>
</Properties>
</file>